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46AE8" w14:textId="77777777" w:rsidR="003A535C" w:rsidRDefault="003A535C" w:rsidP="002A3DC1">
      <w:pPr>
        <w:jc w:val="center"/>
        <w:rPr>
          <w:b/>
          <w:sz w:val="28"/>
          <w:szCs w:val="28"/>
        </w:rPr>
      </w:pPr>
      <w:r w:rsidRPr="00846253">
        <w:rPr>
          <w:b/>
          <w:sz w:val="28"/>
          <w:szCs w:val="28"/>
        </w:rPr>
        <w:t>Formblatt für Stellungnahmen</w:t>
      </w:r>
    </w:p>
    <w:p w14:paraId="6F6E42A8" w14:textId="491A46AE" w:rsidR="0097280C" w:rsidRPr="00AF72D5" w:rsidRDefault="00550433" w:rsidP="00207B53">
      <w:pPr>
        <w:pBdr>
          <w:bottom w:val="single" w:sz="4" w:space="11" w:color="auto"/>
        </w:pBdr>
        <w:spacing w:before="120" w:line="271" w:lineRule="auto"/>
        <w:ind w:right="-57"/>
        <w:jc w:val="center"/>
        <w:rPr>
          <w:b/>
        </w:rPr>
      </w:pPr>
      <w:r>
        <w:rPr>
          <w:b/>
        </w:rPr>
        <w:t xml:space="preserve">für die </w:t>
      </w:r>
      <w:r w:rsidR="00AF72D5">
        <w:rPr>
          <w:b/>
        </w:rPr>
        <w:t>1</w:t>
      </w:r>
      <w:r>
        <w:rPr>
          <w:b/>
        </w:rPr>
        <w:t xml:space="preserve">. Konsultation </w:t>
      </w:r>
      <w:r w:rsidR="00207B53">
        <w:rPr>
          <w:b/>
        </w:rPr>
        <w:t>i</w:t>
      </w:r>
      <w:r w:rsidR="00606519">
        <w:rPr>
          <w:b/>
        </w:rPr>
        <w:t>n de</w:t>
      </w:r>
      <w:r w:rsidR="00AF72D5">
        <w:rPr>
          <w:b/>
        </w:rPr>
        <w:t>n</w:t>
      </w:r>
      <w:r w:rsidR="00562845" w:rsidRPr="0054245A">
        <w:rPr>
          <w:b/>
        </w:rPr>
        <w:t xml:space="preserve"> </w:t>
      </w:r>
      <w:r w:rsidR="002A3DC1">
        <w:rPr>
          <w:b/>
        </w:rPr>
        <w:t>Festlegungsverfahren</w:t>
      </w:r>
      <w:r w:rsidR="00562845" w:rsidRPr="0054245A">
        <w:rPr>
          <w:b/>
        </w:rPr>
        <w:t xml:space="preserve"> </w:t>
      </w:r>
      <w:r w:rsidR="0097280C">
        <w:rPr>
          <w:b/>
        </w:rPr>
        <w:t>der Beschlusskammern</w:t>
      </w:r>
      <w:r w:rsidR="002A3DC1">
        <w:rPr>
          <w:b/>
        </w:rPr>
        <w:t xml:space="preserve"> 7</w:t>
      </w:r>
      <w:r w:rsidR="004F006B">
        <w:rPr>
          <w:b/>
        </w:rPr>
        <w:t xml:space="preserve"> </w:t>
      </w:r>
      <w:r w:rsidR="000A1389" w:rsidRPr="000A1389">
        <w:rPr>
          <w:b/>
        </w:rPr>
        <w:t>zur Änderung des Konvertierungssystems in qualitätsübergreifenden Gasmarktgebieten (KONNI 2.1)</w:t>
      </w:r>
    </w:p>
    <w:p w14:paraId="26ECBD01" w14:textId="5F57728B" w:rsidR="002A3DC1" w:rsidRPr="00AF72D5" w:rsidRDefault="003E0665" w:rsidP="00207B53">
      <w:pPr>
        <w:pBdr>
          <w:bottom w:val="single" w:sz="4" w:space="11" w:color="auto"/>
        </w:pBdr>
        <w:spacing w:before="120" w:line="271" w:lineRule="auto"/>
        <w:ind w:right="-57"/>
        <w:jc w:val="center"/>
        <w:rPr>
          <w:b/>
          <w:bCs/>
        </w:rPr>
      </w:pPr>
      <w:r w:rsidRPr="004D5363">
        <w:rPr>
          <w:b/>
          <w:bCs/>
        </w:rPr>
        <w:t>(</w:t>
      </w:r>
      <w:proofErr w:type="spellStart"/>
      <w:r w:rsidRPr="004D5363">
        <w:rPr>
          <w:b/>
          <w:bCs/>
        </w:rPr>
        <w:t>Az</w:t>
      </w:r>
      <w:proofErr w:type="spellEnd"/>
      <w:r w:rsidRPr="004D5363">
        <w:rPr>
          <w:b/>
          <w:bCs/>
        </w:rPr>
        <w:t xml:space="preserve">: </w:t>
      </w:r>
      <w:r w:rsidR="00AF72D5" w:rsidRPr="004D5363">
        <w:rPr>
          <w:b/>
          <w:bCs/>
        </w:rPr>
        <w:t>BK7-2</w:t>
      </w:r>
      <w:r w:rsidR="000A1389">
        <w:rPr>
          <w:b/>
          <w:bCs/>
        </w:rPr>
        <w:t>6</w:t>
      </w:r>
      <w:r w:rsidR="00AF72D5" w:rsidRPr="004D5363">
        <w:rPr>
          <w:b/>
          <w:bCs/>
        </w:rPr>
        <w:t>-01-</w:t>
      </w:r>
      <w:r w:rsidR="00194BEB">
        <w:rPr>
          <w:b/>
          <w:bCs/>
        </w:rPr>
        <w:t>00</w:t>
      </w:r>
      <w:r w:rsidR="000A1389">
        <w:rPr>
          <w:b/>
          <w:bCs/>
        </w:rPr>
        <w:t>6</w:t>
      </w:r>
      <w:r w:rsidR="002A3DC1" w:rsidRPr="004D5363">
        <w:rPr>
          <w:b/>
          <w:bCs/>
        </w:rPr>
        <w:t>)</w:t>
      </w:r>
    </w:p>
    <w:p w14:paraId="01884589" w14:textId="7691DBB2" w:rsidR="003E5199" w:rsidRPr="007B7E76" w:rsidRDefault="004978BC" w:rsidP="007B7E76">
      <w:r>
        <w:br/>
      </w:r>
      <w:r w:rsidR="00562845" w:rsidRPr="003E5199">
        <w:rPr>
          <w:b/>
          <w:u w:val="single"/>
        </w:rPr>
        <w:t>Unternehmensname</w:t>
      </w:r>
      <w:r w:rsidR="003E5199" w:rsidRPr="003E5199">
        <w:rPr>
          <w:b/>
          <w:u w:val="single"/>
        </w:rPr>
        <w:t>:</w:t>
      </w:r>
      <w:r w:rsidR="003E5199">
        <w:rPr>
          <w:b/>
          <w:u w:val="single"/>
        </w:rPr>
        <w:tab/>
      </w:r>
      <w:r w:rsidR="00474F33">
        <w:rPr>
          <w:b/>
          <w:u w:val="single"/>
        </w:rPr>
        <w:t>BDEW e.V.</w:t>
      </w:r>
      <w:r w:rsidR="003E5199" w:rsidRPr="003E5199">
        <w:rPr>
          <w:b/>
          <w:u w:val="single"/>
        </w:rPr>
        <w:t xml:space="preserve"> </w:t>
      </w:r>
    </w:p>
    <w:p w14:paraId="02D09204" w14:textId="29056E34" w:rsidR="003E5199" w:rsidRPr="003E5199" w:rsidRDefault="003E5199" w:rsidP="0054245A">
      <w:pPr>
        <w:pBdr>
          <w:bottom w:val="single" w:sz="4" w:space="1" w:color="auto"/>
        </w:pBdr>
        <w:rPr>
          <w:u w:val="single"/>
        </w:rPr>
      </w:pPr>
      <w:r w:rsidRPr="003E5199">
        <w:rPr>
          <w:b/>
          <w:u w:val="single"/>
        </w:rPr>
        <w:t>Name des Stellungnehmenden:</w:t>
      </w:r>
      <w:r>
        <w:rPr>
          <w:u w:val="single"/>
        </w:rPr>
        <w:tab/>
      </w:r>
      <w:r w:rsidR="00474F33" w:rsidRPr="00C17832">
        <w:rPr>
          <w:b/>
          <w:bCs/>
          <w:u w:val="single"/>
        </w:rPr>
        <w:t>René Zonneveld</w:t>
      </w:r>
      <w:r w:rsidRPr="00C17832">
        <w:rPr>
          <w:u w:val="single"/>
        </w:rPr>
        <w:tab/>
      </w:r>
    </w:p>
    <w:p w14:paraId="1CEFBD26" w14:textId="50617D6F" w:rsidR="00562845" w:rsidRDefault="003E5199" w:rsidP="0054245A">
      <w:pPr>
        <w:pBdr>
          <w:bottom w:val="single" w:sz="4" w:space="1" w:color="auto"/>
        </w:pBdr>
        <w:rPr>
          <w:b/>
          <w:u w:val="single"/>
        </w:rPr>
      </w:pPr>
      <w:r w:rsidRPr="003E5199">
        <w:rPr>
          <w:b/>
          <w:u w:val="single"/>
        </w:rPr>
        <w:t>Datum der Stellungnahme:</w:t>
      </w:r>
      <w:r>
        <w:rPr>
          <w:b/>
          <w:u w:val="single"/>
        </w:rPr>
        <w:tab/>
      </w:r>
      <w:r>
        <w:rPr>
          <w:b/>
          <w:u w:val="single"/>
        </w:rPr>
        <w:tab/>
      </w:r>
      <w:r w:rsidR="00474F33">
        <w:rPr>
          <w:b/>
          <w:u w:val="single"/>
        </w:rPr>
        <w:t>21.08.2026</w:t>
      </w:r>
      <w:r>
        <w:rPr>
          <w:b/>
          <w:u w:val="single"/>
        </w:rPr>
        <w:tab/>
      </w:r>
      <w:r>
        <w:rPr>
          <w:b/>
          <w:u w:val="single"/>
        </w:rPr>
        <w:tab/>
      </w:r>
    </w:p>
    <w:p w14:paraId="240EC7FA" w14:textId="77777777" w:rsidR="00C812FB" w:rsidRDefault="00C812FB" w:rsidP="0054245A">
      <w:pPr>
        <w:pBdr>
          <w:bottom w:val="single" w:sz="4" w:space="1" w:color="auto"/>
        </w:pBdr>
        <w:rPr>
          <w:b/>
          <w:u w:val="single"/>
        </w:rPr>
      </w:pPr>
    </w:p>
    <w:tbl>
      <w:tblPr>
        <w:tblStyle w:val="Tabellenraster"/>
        <w:tblW w:w="0" w:type="auto"/>
        <w:tblLook w:val="04A0" w:firstRow="1" w:lastRow="0" w:firstColumn="1" w:lastColumn="0" w:noHBand="0" w:noVBand="1"/>
      </w:tblPr>
      <w:tblGrid>
        <w:gridCol w:w="11052"/>
        <w:gridCol w:w="1984"/>
        <w:gridCol w:w="2352"/>
      </w:tblGrid>
      <w:tr w:rsidR="007B7E76" w:rsidRPr="006042A4" w14:paraId="3CFD71CB" w14:textId="77777777" w:rsidTr="007B7E76">
        <w:trPr>
          <w:tblHeader/>
        </w:trPr>
        <w:tc>
          <w:tcPr>
            <w:tcW w:w="11052" w:type="dxa"/>
          </w:tcPr>
          <w:p w14:paraId="4429DFF1" w14:textId="396B3B59" w:rsidR="007B7E76" w:rsidRPr="007B7E76" w:rsidRDefault="007B7E76" w:rsidP="007B7E76">
            <w:r>
              <w:t>Eine geschwärzte Fassung der Stellungnahme</w:t>
            </w:r>
            <w:r w:rsidRPr="006042A4">
              <w:rPr>
                <w:b/>
              </w:rPr>
              <w:t xml:space="preserve"> </w:t>
            </w:r>
          </w:p>
        </w:tc>
        <w:tc>
          <w:tcPr>
            <w:tcW w:w="1984" w:type="dxa"/>
          </w:tcPr>
          <w:p w14:paraId="1581027C" w14:textId="2891EACB" w:rsidR="007B7E76" w:rsidRPr="00C812FB" w:rsidRDefault="007B7E76" w:rsidP="007B7E76">
            <w:pPr>
              <w:jc w:val="center"/>
              <w:rPr>
                <w:b/>
              </w:rPr>
            </w:pPr>
            <w:r w:rsidRPr="00C812FB">
              <w:rPr>
                <w:b/>
              </w:rPr>
              <w:t>lege ich bei</w:t>
            </w:r>
          </w:p>
        </w:tc>
        <w:tc>
          <w:tcPr>
            <w:tcW w:w="2352" w:type="dxa"/>
          </w:tcPr>
          <w:p w14:paraId="11491D80" w14:textId="59CAC649" w:rsidR="007B7E76" w:rsidRPr="00C812FB" w:rsidRDefault="007B7E76" w:rsidP="007B7E76">
            <w:pPr>
              <w:jc w:val="center"/>
              <w:rPr>
                <w:b/>
              </w:rPr>
            </w:pPr>
            <w:r w:rsidRPr="00C812FB">
              <w:rPr>
                <w:b/>
              </w:rPr>
              <w:t>ist nicht erforderlich</w:t>
            </w:r>
          </w:p>
        </w:tc>
      </w:tr>
      <w:tr w:rsidR="007B7E76" w14:paraId="08AFC962" w14:textId="77777777" w:rsidTr="007B7E76">
        <w:tc>
          <w:tcPr>
            <w:tcW w:w="11052" w:type="dxa"/>
          </w:tcPr>
          <w:p w14:paraId="62035EB9" w14:textId="1A51F9DA" w:rsidR="007B7E76" w:rsidRPr="00962490" w:rsidRDefault="007B7E76" w:rsidP="007B7E76">
            <w:pPr>
              <w:jc w:val="right"/>
              <w:rPr>
                <w:i/>
              </w:rPr>
            </w:pPr>
            <w:r w:rsidRPr="00962490">
              <w:rPr>
                <w:i/>
              </w:rPr>
              <w:t>Zutreffendes bitte kennzeichnen.</w:t>
            </w:r>
          </w:p>
        </w:tc>
        <w:tc>
          <w:tcPr>
            <w:tcW w:w="1984" w:type="dxa"/>
          </w:tcPr>
          <w:p w14:paraId="3655C137" w14:textId="77777777" w:rsidR="007B7E76" w:rsidRDefault="007B7E76" w:rsidP="00954783">
            <w:pPr>
              <w:jc w:val="center"/>
            </w:pPr>
          </w:p>
        </w:tc>
        <w:tc>
          <w:tcPr>
            <w:tcW w:w="2352" w:type="dxa"/>
          </w:tcPr>
          <w:p w14:paraId="12E224F0" w14:textId="6DF81132" w:rsidR="007B7E76" w:rsidRDefault="00954783" w:rsidP="00954783">
            <w:pPr>
              <w:jc w:val="center"/>
            </w:pPr>
            <w:r>
              <w:t>x</w:t>
            </w:r>
          </w:p>
        </w:tc>
      </w:tr>
    </w:tbl>
    <w:p w14:paraId="0AC0C9CD" w14:textId="270FAA1D" w:rsidR="00A463AE" w:rsidRDefault="00A463AE">
      <w:pPr>
        <w:rPr>
          <w:b/>
        </w:rPr>
      </w:pPr>
    </w:p>
    <w:p w14:paraId="1EFDDDF9" w14:textId="77777777" w:rsidR="001712E2" w:rsidRDefault="001712E2">
      <w:pPr>
        <w:rPr>
          <w:b/>
        </w:rPr>
      </w:pPr>
    </w:p>
    <w:p w14:paraId="20F8ABF0" w14:textId="77777777" w:rsidR="00C812FB" w:rsidRPr="006042A4" w:rsidRDefault="00C812FB">
      <w:pPr>
        <w:rPr>
          <w:b/>
        </w:rPr>
      </w:pPr>
    </w:p>
    <w:tbl>
      <w:tblPr>
        <w:tblStyle w:val="Tabellenraster"/>
        <w:tblW w:w="0" w:type="auto"/>
        <w:tblLook w:val="04A0" w:firstRow="1" w:lastRow="0" w:firstColumn="1" w:lastColumn="0" w:noHBand="0" w:noVBand="1"/>
      </w:tblPr>
      <w:tblGrid>
        <w:gridCol w:w="4240"/>
        <w:gridCol w:w="11148"/>
      </w:tblGrid>
      <w:tr w:rsidR="003936B4" w:rsidRPr="006042A4" w14:paraId="124B9C86" w14:textId="16E31DD1" w:rsidTr="00D25396">
        <w:trPr>
          <w:trHeight w:val="547"/>
          <w:tblHeader/>
        </w:trPr>
        <w:tc>
          <w:tcPr>
            <w:tcW w:w="4240" w:type="dxa"/>
          </w:tcPr>
          <w:p w14:paraId="3CD1B263" w14:textId="1A2D60EF" w:rsidR="003936B4" w:rsidRDefault="003936B4" w:rsidP="006042A4">
            <w:pPr>
              <w:rPr>
                <w:b/>
              </w:rPr>
            </w:pPr>
            <w:r>
              <w:rPr>
                <w:b/>
              </w:rPr>
              <w:t xml:space="preserve">Bezugnehmende </w:t>
            </w:r>
            <w:r w:rsidR="000A1389">
              <w:rPr>
                <w:b/>
              </w:rPr>
              <w:t>Tenorziffer</w:t>
            </w:r>
            <w:r w:rsidR="001F4C13">
              <w:rPr>
                <w:b/>
              </w:rPr>
              <w:t xml:space="preserve"> bzw. sonstige Anmerkungen</w:t>
            </w:r>
          </w:p>
          <w:p w14:paraId="5D0204E9" w14:textId="67CE652B" w:rsidR="003936B4" w:rsidRPr="006042A4" w:rsidRDefault="003936B4" w:rsidP="006042A4">
            <w:pPr>
              <w:rPr>
                <w:b/>
              </w:rPr>
            </w:pPr>
          </w:p>
        </w:tc>
        <w:tc>
          <w:tcPr>
            <w:tcW w:w="11148" w:type="dxa"/>
          </w:tcPr>
          <w:p w14:paraId="21FB9B71" w14:textId="588B1267" w:rsidR="003936B4" w:rsidRPr="00474F33" w:rsidRDefault="003936B4">
            <w:pPr>
              <w:rPr>
                <w:b/>
              </w:rPr>
            </w:pPr>
            <w:r w:rsidRPr="00474F33">
              <w:rPr>
                <w:b/>
              </w:rPr>
              <w:t>Stellungnahme einfügen</w:t>
            </w:r>
          </w:p>
        </w:tc>
      </w:tr>
      <w:tr w:rsidR="003936B4" w14:paraId="7551EC4B" w14:textId="77777777" w:rsidTr="005F5560">
        <w:tc>
          <w:tcPr>
            <w:tcW w:w="4240" w:type="dxa"/>
          </w:tcPr>
          <w:p w14:paraId="795C8EB4" w14:textId="1F40B101" w:rsidR="003936B4" w:rsidRDefault="00474F33">
            <w:r>
              <w:t>Zusammenfassung</w:t>
            </w:r>
          </w:p>
        </w:tc>
        <w:tc>
          <w:tcPr>
            <w:tcW w:w="11148" w:type="dxa"/>
          </w:tcPr>
          <w:p w14:paraId="413FA83B" w14:textId="4225B06F" w:rsidR="00C17832" w:rsidRDefault="00474F33" w:rsidP="00C17832">
            <w:r w:rsidRPr="00474F33">
              <w:t>Aus Sicht des BDEW sind insbesondere folgende Punkte zu berücksichtigen:</w:t>
            </w:r>
          </w:p>
          <w:p w14:paraId="6628CAE7" w14:textId="77777777" w:rsidR="00C17832" w:rsidRPr="00474F33" w:rsidRDefault="00C17832" w:rsidP="00C17832"/>
          <w:p w14:paraId="2D834A90" w14:textId="77777777" w:rsidR="00474F33" w:rsidRPr="00474F33" w:rsidRDefault="00474F33" w:rsidP="00C17832">
            <w:pPr>
              <w:pStyle w:val="Aufzhlungszeichen1"/>
              <w:numPr>
                <w:ilvl w:val="0"/>
                <w:numId w:val="13"/>
              </w:numPr>
              <w:spacing w:line="240" w:lineRule="auto"/>
              <w:rPr>
                <w:sz w:val="22"/>
                <w:szCs w:val="22"/>
              </w:rPr>
            </w:pPr>
            <w:r w:rsidRPr="00474F33">
              <w:rPr>
                <w:sz w:val="22"/>
                <w:szCs w:val="22"/>
              </w:rPr>
              <w:t xml:space="preserve">Die bereits umgesetzte Beschränkung des L-Gas-Orderbuchs und die angekündigte Reduzierung von L-Gas-Entry-Kapazitäten sollten bei der Bewertung berücksichtigt werden. Die bisher beobachtete Kostenentwicklung deutet teilweise auf eine Wirkung der Maßnahmen hin, wobei die negativen Gaspreise im L-Gas-Verkauf die Herausforderungen bei der Regelenergiebeschaffung in einem immer weiter schrumpfenden L-Gasmarkt unterstreichen. </w:t>
            </w:r>
          </w:p>
          <w:p w14:paraId="20D0358E" w14:textId="77777777" w:rsidR="00474F33" w:rsidRPr="00474F33" w:rsidRDefault="00474F33" w:rsidP="00C17832">
            <w:pPr>
              <w:pStyle w:val="Aufzhlungszeichen1"/>
              <w:numPr>
                <w:ilvl w:val="0"/>
                <w:numId w:val="12"/>
              </w:numPr>
              <w:spacing w:line="240" w:lineRule="auto"/>
              <w:rPr>
                <w:sz w:val="22"/>
                <w:szCs w:val="22"/>
              </w:rPr>
            </w:pPr>
            <w:r w:rsidRPr="00474F33">
              <w:rPr>
                <w:sz w:val="22"/>
                <w:szCs w:val="22"/>
              </w:rPr>
              <w:t>Die regulatorische Möglichkeit zur Erhebung eines Konvertierungsentgelts in Richtung L-Gas nach H-Gas kann angesichts der verbleibenden Unsicherheiten sinnvoll sein. Das Entgelt sollte jedoch nur erhoben werden, wenn die bereits ergriffenen Maßnahmen nicht ausreichen.</w:t>
            </w:r>
          </w:p>
          <w:p w14:paraId="6EA347BF" w14:textId="77777777" w:rsidR="00474F33" w:rsidRPr="00474F33" w:rsidRDefault="00474F33" w:rsidP="00C17832">
            <w:pPr>
              <w:pStyle w:val="Aufzhlungszeichen1"/>
              <w:numPr>
                <w:ilvl w:val="0"/>
                <w:numId w:val="12"/>
              </w:numPr>
              <w:spacing w:line="240" w:lineRule="auto"/>
              <w:rPr>
                <w:sz w:val="22"/>
                <w:szCs w:val="22"/>
              </w:rPr>
            </w:pPr>
            <w:r w:rsidRPr="00474F33">
              <w:rPr>
                <w:sz w:val="22"/>
                <w:szCs w:val="22"/>
              </w:rPr>
              <w:lastRenderedPageBreak/>
              <w:t>Das Konvertierungsentgelt muss einfach, transparent und für die Marktteilnehmer planbar ausgestaltet werden. Eine unnötige Komplexität ist angesichts der kurzen verbleibenden Laufzeit des Konvertierungssystems zu vermeiden.</w:t>
            </w:r>
          </w:p>
          <w:p w14:paraId="09046F50" w14:textId="77777777" w:rsidR="00474F33" w:rsidRPr="00474F33" w:rsidRDefault="00474F33" w:rsidP="00C17832">
            <w:pPr>
              <w:pStyle w:val="Aufzhlungszeichen1"/>
              <w:numPr>
                <w:ilvl w:val="0"/>
                <w:numId w:val="12"/>
              </w:numPr>
              <w:spacing w:line="240" w:lineRule="auto"/>
              <w:rPr>
                <w:sz w:val="22"/>
                <w:szCs w:val="22"/>
              </w:rPr>
            </w:pPr>
            <w:r w:rsidRPr="00474F33">
              <w:rPr>
                <w:sz w:val="22"/>
                <w:szCs w:val="22"/>
              </w:rPr>
              <w:t>Für beide Konvertierungsrichtungen sollte eine einheitliche Obergrenze von 0,45 Euro/MWh gelten. Eine gleichlaufende Ausgestaltung bedeutet jedoch nicht, dass die tatsächlich festgelegten Entgelte in beiden Richtungen identisch sein müssen.</w:t>
            </w:r>
          </w:p>
          <w:p w14:paraId="0A2F0C89" w14:textId="77777777" w:rsidR="00474F33" w:rsidRPr="00474F33" w:rsidRDefault="00474F33" w:rsidP="00C17832">
            <w:pPr>
              <w:pStyle w:val="Aufzhlungszeichen1"/>
              <w:numPr>
                <w:ilvl w:val="0"/>
                <w:numId w:val="12"/>
              </w:numPr>
              <w:spacing w:line="240" w:lineRule="auto"/>
              <w:rPr>
                <w:sz w:val="22"/>
                <w:szCs w:val="22"/>
              </w:rPr>
            </w:pPr>
            <w:r w:rsidRPr="00474F33">
              <w:rPr>
                <w:sz w:val="22"/>
                <w:szCs w:val="22"/>
              </w:rPr>
              <w:t xml:space="preserve">Mit Einführung des Konvertierungsentgelts in Richtung L-Gas nach H-Gas im April 2027 sollte dem MGV auch die Möglichkeit gegeben werden, die Konvertierungsumlage anzupassen, damit die Entgelte in beide Richtungen und die Umlage kongruent zusammen gedacht werden können. Die Veröffentlichung sollte frühzeitig und spätestens 6 Wochen vor dem 1. April 2027 erfolgen. Dies ist sachgerecht, da sich prognostizierte Einnahmen aus der Konvertierungsumlage und den Konvertierungsentgelten ergänzen. </w:t>
            </w:r>
          </w:p>
          <w:p w14:paraId="4A008749" w14:textId="77777777" w:rsidR="00474F33" w:rsidRPr="00474F33" w:rsidRDefault="00474F33" w:rsidP="00C17832">
            <w:pPr>
              <w:pStyle w:val="Aufzhlungszeichen1"/>
              <w:numPr>
                <w:ilvl w:val="0"/>
                <w:numId w:val="12"/>
              </w:numPr>
              <w:spacing w:line="240" w:lineRule="auto"/>
              <w:rPr>
                <w:sz w:val="22"/>
                <w:szCs w:val="22"/>
              </w:rPr>
            </w:pPr>
            <w:r w:rsidRPr="00474F33">
              <w:rPr>
                <w:sz w:val="22"/>
                <w:szCs w:val="22"/>
              </w:rPr>
              <w:t xml:space="preserve">Die Überführung eines verbleibenden Saldos des Konvertierungskontos in das Umlagesystem nach </w:t>
            </w:r>
            <w:proofErr w:type="spellStart"/>
            <w:r w:rsidRPr="00474F33">
              <w:rPr>
                <w:sz w:val="22"/>
                <w:szCs w:val="22"/>
              </w:rPr>
              <w:t>GaBi</w:t>
            </w:r>
            <w:proofErr w:type="spellEnd"/>
            <w:r w:rsidRPr="00474F33">
              <w:rPr>
                <w:sz w:val="22"/>
                <w:szCs w:val="22"/>
              </w:rPr>
              <w:t xml:space="preserve"> Gas ist nicht sachgerecht. Überschüsse müssen den Marktteilnehmern zugutekommen, die das Konvertierungssystem finanziert haben. Die Rückvergütung entsprechend der tatsächlich geleisteten Zahlungen ist der sachgerechte Umgang mit den </w:t>
            </w:r>
            <w:proofErr w:type="spellStart"/>
            <w:r w:rsidRPr="00474F33">
              <w:rPr>
                <w:sz w:val="22"/>
                <w:szCs w:val="22"/>
              </w:rPr>
              <w:t>zuviel</w:t>
            </w:r>
            <w:proofErr w:type="spellEnd"/>
            <w:r w:rsidRPr="00474F33">
              <w:rPr>
                <w:sz w:val="22"/>
                <w:szCs w:val="22"/>
              </w:rPr>
              <w:t xml:space="preserve"> entrichteten Umlage- bzw. Entgeltzahlungen. </w:t>
            </w:r>
          </w:p>
          <w:p w14:paraId="6EDB7CDC" w14:textId="34315F79" w:rsidR="003936B4" w:rsidRPr="00474F33" w:rsidRDefault="00474F33" w:rsidP="00C17832">
            <w:pPr>
              <w:pStyle w:val="Aufzhlungszeichen1"/>
              <w:numPr>
                <w:ilvl w:val="0"/>
                <w:numId w:val="12"/>
              </w:numPr>
              <w:spacing w:line="240" w:lineRule="auto"/>
              <w:rPr>
                <w:sz w:val="22"/>
                <w:szCs w:val="22"/>
              </w:rPr>
            </w:pPr>
            <w:r w:rsidRPr="00474F33">
              <w:rPr>
                <w:sz w:val="22"/>
                <w:szCs w:val="22"/>
              </w:rPr>
              <w:t xml:space="preserve">Die Erhebung der Konvertierungsumlage an Gasspeichern führt zu einer nicht sachgerechten Doppelbelastung der eingespeicherten Gasmengen und ist zudem ein relevanter Kostenfaktor, der die marktliche Speichernutzung hemmt. Es gilt daher, diese zusätzliche Kostenbelastung an Gasspeichern schnellstmöglich abzubauen. </w:t>
            </w:r>
          </w:p>
        </w:tc>
      </w:tr>
      <w:tr w:rsidR="003936B4" w14:paraId="3DF75207" w14:textId="77777777" w:rsidTr="005F5560">
        <w:tc>
          <w:tcPr>
            <w:tcW w:w="4240" w:type="dxa"/>
          </w:tcPr>
          <w:p w14:paraId="6FDDF981" w14:textId="1E8EB978" w:rsidR="003936B4" w:rsidRDefault="00474F33">
            <w:r>
              <w:lastRenderedPageBreak/>
              <w:t>Vorbemerkung</w:t>
            </w:r>
          </w:p>
        </w:tc>
        <w:tc>
          <w:tcPr>
            <w:tcW w:w="11148" w:type="dxa"/>
          </w:tcPr>
          <w:p w14:paraId="303F172D" w14:textId="77777777" w:rsidR="00474F33" w:rsidRPr="00474F33" w:rsidRDefault="00474F33" w:rsidP="00C17832">
            <w:pPr>
              <w:rPr>
                <w:highlight w:val="green"/>
              </w:rPr>
            </w:pPr>
            <w:r w:rsidRPr="00474F33">
              <w:t>Der BDEW bedankt sich für die Möglichkeit, im Rahmen des Festlegungsverfahrens „KONNI 2.1“ zur geplanten Änderung des Konvertierungssystems in qualitätsübergreifenden Gasmarktgebieten Stellung nehmen zu können.</w:t>
            </w:r>
          </w:p>
          <w:p w14:paraId="7F68F3EF" w14:textId="77777777" w:rsidR="00474F33" w:rsidRDefault="00474F33" w:rsidP="00C17832">
            <w:r w:rsidRPr="00474F33">
              <w:t>Das Konvertierungssystem wurde eingeführt, um den qualitätsübergreifenden Handel und Transport von Gas innerhalb des deutschen Marktgebiets abbilden zu können. Dies war notwendig, damit die durch die bilanzielle Konvertierung entstehenden physischen Ungleichgewichte durch den Marktgebietsverantwortlichen ausgeglichen werden können. Die hieraus nach etwaiger Erhebung eines Konvertierungsentgelts verbleibenden Kosten werden über die Konvertierungsumlage auf die Marktteilnehmer verteilt.</w:t>
            </w:r>
          </w:p>
          <w:p w14:paraId="7E1E2BCE" w14:textId="77777777" w:rsidR="00C17832" w:rsidRPr="00474F33" w:rsidRDefault="00C17832" w:rsidP="00C17832"/>
          <w:p w14:paraId="31B9BF94" w14:textId="42C7B16E" w:rsidR="00ED6FAB" w:rsidRPr="00474F33" w:rsidRDefault="00474F33" w:rsidP="00C17832">
            <w:r w:rsidRPr="00474F33">
              <w:t xml:space="preserve">Die in den vergangenen Jahren deutlich gestiegenen bilanziellen Konvertierungsmengen in Richtung L-Gas nach H-Gas haben zu erheblichen Konvertierungs- und Regelenergiekosten geführt. Der BDEW teilt daher das Ziel, Fehlanreize zu begrenzen, Konvertierungskosten zu reduzieren und eine möglichst verursachungsgerechte Kostenverteilung zu gewährleisten. Die Markteingriffe müssen jedoch verhältnismäßig sein und sollten die Netznutzer nicht aufgrund des Verhaltens einzelner bestrafen. </w:t>
            </w:r>
          </w:p>
        </w:tc>
      </w:tr>
      <w:tr w:rsidR="00474F33" w14:paraId="7F618439" w14:textId="77777777" w:rsidTr="005F5560">
        <w:tc>
          <w:tcPr>
            <w:tcW w:w="4240" w:type="dxa"/>
          </w:tcPr>
          <w:p w14:paraId="4B535A72" w14:textId="57C19EEE" w:rsidR="00474F33" w:rsidRDefault="00474F33" w:rsidP="00474F33">
            <w:pPr>
              <w:pStyle w:val="Listenabsatz"/>
              <w:numPr>
                <w:ilvl w:val="0"/>
                <w:numId w:val="5"/>
              </w:numPr>
            </w:pPr>
            <w:r w:rsidRPr="00474F33">
              <w:lastRenderedPageBreak/>
              <w:t>Notwendigkeit der Anpassung des Konvertierungssystems</w:t>
            </w:r>
          </w:p>
          <w:p w14:paraId="0CFCB06E" w14:textId="77777777" w:rsidR="00474F33" w:rsidRDefault="00474F33" w:rsidP="00474F33"/>
          <w:p w14:paraId="7C4D9DE4" w14:textId="25D1CD0D" w:rsidR="00474F33" w:rsidRDefault="00474F33" w:rsidP="00474F33">
            <w:r>
              <w:t>Anmerkungen zu:</w:t>
            </w:r>
          </w:p>
          <w:p w14:paraId="5D3BB78D" w14:textId="191047E6" w:rsidR="00474F33" w:rsidRDefault="00474F33" w:rsidP="00474F33">
            <w:pPr>
              <w:pStyle w:val="Listenabsatz"/>
              <w:numPr>
                <w:ilvl w:val="0"/>
                <w:numId w:val="9"/>
              </w:numPr>
            </w:pPr>
            <w:r>
              <w:t>Ergriffene Maßnahmen</w:t>
            </w:r>
          </w:p>
          <w:p w14:paraId="2303DDF2" w14:textId="1A881544" w:rsidR="00474F33" w:rsidRDefault="00474F33" w:rsidP="00474F33">
            <w:pPr>
              <w:pStyle w:val="Listenabsatz"/>
              <w:numPr>
                <w:ilvl w:val="0"/>
                <w:numId w:val="9"/>
              </w:numPr>
            </w:pPr>
            <w:r>
              <w:t>Möglichkeiten zur Entgelterhebung</w:t>
            </w:r>
          </w:p>
        </w:tc>
        <w:tc>
          <w:tcPr>
            <w:tcW w:w="11148" w:type="dxa"/>
          </w:tcPr>
          <w:p w14:paraId="54833683" w14:textId="77777777" w:rsidR="00474F33" w:rsidRPr="00474F33" w:rsidRDefault="00474F33" w:rsidP="00C17832">
            <w:pPr>
              <w:pStyle w:val="berschrift2"/>
              <w:numPr>
                <w:ilvl w:val="0"/>
                <w:numId w:val="0"/>
              </w:numPr>
              <w:spacing w:line="240" w:lineRule="auto"/>
              <w:rPr>
                <w:sz w:val="22"/>
                <w:szCs w:val="22"/>
              </w:rPr>
            </w:pPr>
            <w:bookmarkStart w:id="0" w:name="_Toc236841271"/>
            <w:bookmarkStart w:id="1" w:name="_Toc236841538"/>
            <w:bookmarkStart w:id="2" w:name="_Toc237883244"/>
            <w:r w:rsidRPr="00474F33">
              <w:rPr>
                <w:sz w:val="22"/>
                <w:szCs w:val="22"/>
              </w:rPr>
              <w:t>Ergriffene Maßnahmen</w:t>
            </w:r>
            <w:bookmarkEnd w:id="0"/>
            <w:bookmarkEnd w:id="1"/>
            <w:bookmarkEnd w:id="2"/>
          </w:p>
          <w:p w14:paraId="48CF1216" w14:textId="77777777" w:rsidR="00474F33" w:rsidRPr="00474F33" w:rsidRDefault="00474F33" w:rsidP="00C17832">
            <w:r w:rsidRPr="00474F33">
              <w:t xml:space="preserve">Die Anpassung des Konvertierungssystems erfolgt aus Sicht des BDEW sehr spät. Die Entwicklung hoher Konvertierungsmengen und Konvertierungskosten war bereits seit längerer Zeit erkennbar, sollte ihren Zenit jedoch bereits überschritten haben. Die geplante Anwendung ab 2027 führt dazu, dass das Instrument voraussichtlich nur noch für einen vergleichsweise kurzen Zeitraum bis zum Abschluss der L-Gas-Marktraumumstellung zum Einsatz kommt. Die kurze Restlaufzeit spricht dafür, Änderungen auf das Notwendige zu beschränken und das System so einfach wie möglich auszugestalten. </w:t>
            </w:r>
          </w:p>
          <w:p w14:paraId="4AF5AF4E" w14:textId="77777777" w:rsidR="00474F33" w:rsidRPr="00474F33" w:rsidRDefault="00474F33" w:rsidP="00C17832">
            <w:r w:rsidRPr="00474F33">
              <w:t xml:space="preserve">Mit der in der Kooperationsvereinbarung beschlossenen Beschränkung der Nutzung des L-Gas-Orderbuchs und der angekündigten Anpassung des Kapazitätsangebots wurden bereits Maßnahmen ergriffen, die auf die Ursachen der hohen Konvertierungskosten wirken sollen. </w:t>
            </w:r>
          </w:p>
          <w:p w14:paraId="4E5330F5" w14:textId="77777777" w:rsidR="00474F33" w:rsidRPr="00474F33" w:rsidRDefault="00474F33" w:rsidP="00C17832">
            <w:pPr>
              <w:pStyle w:val="berschrift2"/>
              <w:numPr>
                <w:ilvl w:val="0"/>
                <w:numId w:val="0"/>
              </w:numPr>
              <w:spacing w:line="240" w:lineRule="auto"/>
              <w:ind w:left="425" w:hanging="425"/>
              <w:rPr>
                <w:sz w:val="22"/>
                <w:szCs w:val="22"/>
              </w:rPr>
            </w:pPr>
            <w:bookmarkStart w:id="3" w:name="_Toc236841272"/>
            <w:bookmarkStart w:id="4" w:name="_Toc236841539"/>
            <w:bookmarkStart w:id="5" w:name="_Toc237883245"/>
            <w:r w:rsidRPr="00474F33">
              <w:rPr>
                <w:sz w:val="22"/>
                <w:szCs w:val="22"/>
              </w:rPr>
              <w:t>Möglichkeit zur Entgelterhebung</w:t>
            </w:r>
            <w:bookmarkEnd w:id="3"/>
            <w:bookmarkEnd w:id="4"/>
            <w:bookmarkEnd w:id="5"/>
          </w:p>
          <w:p w14:paraId="6889F6E0" w14:textId="77777777" w:rsidR="00474F33" w:rsidRPr="00474F33" w:rsidRDefault="00474F33" w:rsidP="00C17832">
            <w:r w:rsidRPr="00474F33">
              <w:t>Die seit dem Frühjahr beobachtete Entwicklung deutet darauf hin, dass die ergriffenen Maßnahmen in den letzten Monaten zu einer Verringerung der Konvertierungskosten beigetragen haben. Unklar ist jedoch, wie diese sich in den Sommer-/Herbstmonaten entwickeln. Die Wirkung der Anpassung des Kapazitätsangebots kann ebenfalls erst nach ihrer Umsetzung belastbar bewertet werden. Grundsätzlich ist es sinnvoll, dem Marktgebietsverantwortlichen die Möglichkeit zur Erhebung eines Konvertierungsentgelts in Richtung L-Gas nach H-Gas einzuräumen. Damit steht für den Fall erneut steigender Konvertierungsmengen ein zusätzliches Kostenallokationsinstrument zur Verfügung. Die tatsächliche Erhebung des Konvertierungsentgelts sollte jedoch nur nach Bedarf erfolgen. Es ist darauf hinzuweisen, dass die Möglichkeit, ein Konvertierungsentgelt in beiden Richtungen erheben zu können, nicht bedeutet, dass auch tatsächlich immer ein Entgelt erhoben werden sollte.</w:t>
            </w:r>
            <w:r w:rsidRPr="00474F33" w:rsidDel="00B01533">
              <w:t xml:space="preserve"> </w:t>
            </w:r>
            <w:r w:rsidRPr="00474F33">
              <w:t>Das Konvertierungsentgelt sollte nur dann erhoben werden, wenn die sonstigen Maßnahmen nicht ausreichen die Kosten im Griff zu halten und eine Erhebung aufgrund der aktuellen und erwarteten Marktentwicklung erforderlich ist.</w:t>
            </w:r>
          </w:p>
          <w:p w14:paraId="66665897" w14:textId="77777777" w:rsidR="00474F33" w:rsidRPr="00474F33" w:rsidRDefault="00474F33" w:rsidP="00C17832"/>
        </w:tc>
      </w:tr>
      <w:tr w:rsidR="00474F33" w14:paraId="2F4303E7" w14:textId="77777777" w:rsidTr="005F5560">
        <w:tc>
          <w:tcPr>
            <w:tcW w:w="4240" w:type="dxa"/>
          </w:tcPr>
          <w:p w14:paraId="6ACC442F" w14:textId="3960B9F5" w:rsidR="00474F33" w:rsidRDefault="00474F33" w:rsidP="00474F33">
            <w:pPr>
              <w:pStyle w:val="Listenabsatz"/>
              <w:numPr>
                <w:ilvl w:val="0"/>
                <w:numId w:val="5"/>
              </w:numPr>
            </w:pPr>
            <w:r w:rsidRPr="00474F33">
              <w:t>Einführung eines Konvertierungsentgelts L- nach H</w:t>
            </w:r>
          </w:p>
          <w:p w14:paraId="3BE29D40" w14:textId="77777777" w:rsidR="00474F33" w:rsidRDefault="00474F33" w:rsidP="00474F33">
            <w:pPr>
              <w:ind w:left="360"/>
            </w:pPr>
          </w:p>
          <w:p w14:paraId="644BC10C" w14:textId="77777777" w:rsidR="00474F33" w:rsidRDefault="00474F33" w:rsidP="00474F33">
            <w:r>
              <w:t>Anmerkungen zu:</w:t>
            </w:r>
          </w:p>
          <w:p w14:paraId="43A7F611" w14:textId="77777777" w:rsidR="00474F33" w:rsidRDefault="00474F33" w:rsidP="00474F33">
            <w:pPr>
              <w:pStyle w:val="Listenabsatz"/>
              <w:numPr>
                <w:ilvl w:val="0"/>
                <w:numId w:val="7"/>
              </w:numPr>
            </w:pPr>
            <w:r>
              <w:t>Statische und anreizorientierte Ausgestaltung</w:t>
            </w:r>
          </w:p>
          <w:p w14:paraId="33D5304C" w14:textId="77777777" w:rsidR="00474F33" w:rsidRDefault="00474F33" w:rsidP="00474F33">
            <w:pPr>
              <w:pStyle w:val="Listenabsatz"/>
              <w:numPr>
                <w:ilvl w:val="0"/>
                <w:numId w:val="7"/>
              </w:numPr>
            </w:pPr>
            <w:r>
              <w:t>Rumpfzeitraum April bis September 2027</w:t>
            </w:r>
          </w:p>
          <w:p w14:paraId="51A5F92E" w14:textId="77777777" w:rsidR="00474F33" w:rsidRDefault="00474F33" w:rsidP="00474F33">
            <w:pPr>
              <w:pStyle w:val="Listenabsatz"/>
              <w:numPr>
                <w:ilvl w:val="0"/>
                <w:numId w:val="7"/>
              </w:numPr>
            </w:pPr>
            <w:r>
              <w:t>Entgeltobergrenze</w:t>
            </w:r>
          </w:p>
          <w:p w14:paraId="5926D886" w14:textId="0943BF39" w:rsidR="00474F33" w:rsidRDefault="00474F33" w:rsidP="00474F33">
            <w:pPr>
              <w:pStyle w:val="Listenabsatz"/>
              <w:numPr>
                <w:ilvl w:val="0"/>
                <w:numId w:val="7"/>
              </w:numPr>
            </w:pPr>
            <w:r>
              <w:lastRenderedPageBreak/>
              <w:t>Saisonale Differenzierung</w:t>
            </w:r>
          </w:p>
        </w:tc>
        <w:tc>
          <w:tcPr>
            <w:tcW w:w="11148" w:type="dxa"/>
          </w:tcPr>
          <w:p w14:paraId="7447B09D" w14:textId="77777777" w:rsidR="00474F33" w:rsidRPr="006C3DE4" w:rsidRDefault="00474F33" w:rsidP="00C17832">
            <w:pPr>
              <w:rPr>
                <w:b/>
                <w:bCs/>
              </w:rPr>
            </w:pPr>
            <w:bookmarkStart w:id="6" w:name="_Toc236841274"/>
            <w:bookmarkStart w:id="7" w:name="_Toc236841541"/>
            <w:bookmarkStart w:id="8" w:name="_Toc237883247"/>
            <w:r w:rsidRPr="006C3DE4">
              <w:rPr>
                <w:b/>
                <w:bCs/>
              </w:rPr>
              <w:lastRenderedPageBreak/>
              <w:t>Statische und anreizorientierte Ausgestaltung</w:t>
            </w:r>
            <w:bookmarkEnd w:id="6"/>
            <w:bookmarkEnd w:id="7"/>
            <w:bookmarkEnd w:id="8"/>
          </w:p>
          <w:p w14:paraId="7D4F65B3" w14:textId="77777777" w:rsidR="00474F33" w:rsidRPr="00474F33" w:rsidRDefault="00474F33" w:rsidP="00C17832">
            <w:r w:rsidRPr="00474F33">
              <w:t xml:space="preserve">Das Konvertierungsentgelt kann wesentlich dazu beitragen, die Konvertierungskosten verursachungsgerecht zu allokieren. </w:t>
            </w:r>
          </w:p>
          <w:p w14:paraId="69FD8F2B" w14:textId="77777777" w:rsidR="00474F33" w:rsidRPr="00474F33" w:rsidRDefault="00474F33" w:rsidP="00C17832">
            <w:r w:rsidRPr="00474F33">
              <w:t>Der BDEW unterstützt grundsätzlich eine statische und anreizorientierte Ausgestaltung des Konvertierungsentgelts.</w:t>
            </w:r>
          </w:p>
          <w:p w14:paraId="3F6A4A4D" w14:textId="77777777" w:rsidR="00474F33" w:rsidRDefault="00474F33" w:rsidP="00C17832">
            <w:r w:rsidRPr="00474F33">
              <w:t xml:space="preserve">Ein nachträglich bestimmtes oder kurzfristig veränderliches Entgelt würde erhebliche Unsicherheiten für die Marktteilnehmer schaffen. Die mit dem Konvertierungssystem verbundenen Kosten müssen in Lieferverträgen berücksichtigt werden können. Dies setzt voraus, dass das Konvertierungsentgelt vor Beginn des jeweiligen Geltungszeitraums feststeht. Das Entgelt sollte daher grundsätzlich für zwölf Monate festgelegt werden. Eine unterjährige Anpassung sollte nur in eng begrenzten und klar definierten Ausnahmefällen zulässig sein. Die Berechnungsmethode, die verwendeten Indikatoren und </w:t>
            </w:r>
            <w:r w:rsidRPr="00474F33">
              <w:lastRenderedPageBreak/>
              <w:t>deren Gewichtung müssen transparent veröffentlicht werden. Die Marktteilnehmer müssen nachvollziehen können, wie sich die konkrete Entgelthöhe aus den zugrunde gelegten Daten und Annahmen ergibt.</w:t>
            </w:r>
          </w:p>
          <w:p w14:paraId="458364D4" w14:textId="77777777" w:rsidR="006C3DE4" w:rsidRPr="00474F33" w:rsidRDefault="006C3DE4" w:rsidP="00C17832"/>
          <w:p w14:paraId="6BB1321A" w14:textId="77777777" w:rsidR="00474F33" w:rsidRPr="006C3DE4" w:rsidRDefault="00474F33" w:rsidP="00C17832">
            <w:pPr>
              <w:rPr>
                <w:b/>
                <w:bCs/>
              </w:rPr>
            </w:pPr>
            <w:bookmarkStart w:id="9" w:name="_Toc236841275"/>
            <w:bookmarkStart w:id="10" w:name="_Toc236841542"/>
            <w:bookmarkStart w:id="11" w:name="_Toc237883248"/>
            <w:r w:rsidRPr="006C3DE4">
              <w:rPr>
                <w:b/>
                <w:bCs/>
              </w:rPr>
              <w:t>Rumpfzeitraum April bis September 2027</w:t>
            </w:r>
            <w:bookmarkEnd w:id="9"/>
            <w:bookmarkEnd w:id="10"/>
            <w:bookmarkEnd w:id="11"/>
          </w:p>
          <w:p w14:paraId="6FCF05EB" w14:textId="77777777" w:rsidR="00C17832" w:rsidRPr="00474F33" w:rsidRDefault="00C17832" w:rsidP="00C17832"/>
          <w:p w14:paraId="07DC1040" w14:textId="77777777" w:rsidR="00474F33" w:rsidRPr="00474F33" w:rsidRDefault="00474F33" w:rsidP="00C17832">
            <w:r w:rsidRPr="00474F33">
              <w:t xml:space="preserve">Die geplante Einführung zum 1. April 2027 führt zu einem ersten Geltungszeitraum von sechs Monaten. Dieser Rumpfzeitraum fällt in eine bereits laufende Umlageperiode. Der BDEW erkennt an, dass gerade die Sommermonate für die Konvertierung in Richtung L-Gas nach H-Gas von besonderer Bedeutung sein können. Mit Einführung bzw. Anpassung des Konvertierungsentgelts zum 1. April 2027 sollte dem Marktgebietsverantwortlichen daher auch eine entsprechende Anpassung der Konvertierungsumlage ermöglicht werden. Konvertierungsentgelt und Konvertierungsumlage sind kongruent zu berücksichtigen. </w:t>
            </w:r>
          </w:p>
          <w:p w14:paraId="20682405" w14:textId="77777777" w:rsidR="00474F33" w:rsidRDefault="00474F33" w:rsidP="00C17832">
            <w:r w:rsidRPr="00474F33">
              <w:t>Die konkrete Höhe des Konvertierungsentgelts sowie sämtliche für den Rumpfzeitraum geltenden Faktoren müssen so früh wie möglich spätestens jedoch sechs Wochen vor Anwendung veröffentlicht werden. Eine spätere Festlegung würde die Planungssicherheit erheblich beeinträchtigen und den Marktteilnehmern keine ausreichende Umsetzungszeit lassen.</w:t>
            </w:r>
          </w:p>
          <w:p w14:paraId="48B265CD" w14:textId="77777777" w:rsidR="006C3DE4" w:rsidRPr="00474F33" w:rsidRDefault="006C3DE4" w:rsidP="00C17832"/>
          <w:p w14:paraId="563A9334" w14:textId="77777777" w:rsidR="00474F33" w:rsidRPr="006C3DE4" w:rsidRDefault="00474F33" w:rsidP="00C17832">
            <w:pPr>
              <w:rPr>
                <w:b/>
                <w:bCs/>
              </w:rPr>
            </w:pPr>
            <w:bookmarkStart w:id="12" w:name="_Toc236841276"/>
            <w:bookmarkStart w:id="13" w:name="_Toc236841543"/>
            <w:bookmarkStart w:id="14" w:name="_Toc237883249"/>
            <w:r w:rsidRPr="006C3DE4">
              <w:rPr>
                <w:b/>
                <w:bCs/>
              </w:rPr>
              <w:t>Entgeltobergrenze</w:t>
            </w:r>
            <w:bookmarkEnd w:id="12"/>
            <w:bookmarkEnd w:id="13"/>
            <w:bookmarkEnd w:id="14"/>
          </w:p>
          <w:p w14:paraId="2A320FED" w14:textId="77777777" w:rsidR="00C17832" w:rsidRPr="00474F33" w:rsidRDefault="00C17832" w:rsidP="00C17832"/>
          <w:p w14:paraId="202E255B" w14:textId="77777777" w:rsidR="00474F33" w:rsidRPr="00474F33" w:rsidRDefault="00474F33" w:rsidP="00C17832">
            <w:r w:rsidRPr="00474F33">
              <w:t>Der BDEW unterstützt die Beibehaltung einer Entgeltobergrenze. Sie stellt sicher, dass der qualitätsübergreifende Handel auch bei angespannten Marktbedingungen grundsätzlich möglich bleibt und die bilanzielle Konvertierung nicht faktisch ausgeschlossen wird.</w:t>
            </w:r>
          </w:p>
          <w:p w14:paraId="255BEA61" w14:textId="77777777" w:rsidR="00474F33" w:rsidRDefault="00474F33" w:rsidP="00C17832">
            <w:r w:rsidRPr="00474F33">
              <w:t>Für beide Konvertierungsrichtungen sollte eine einheitliche Obergrenze von  0,45 Euro/MWh gelten. Die tatsächliche Höhe der Entgelte muss dagegen weiterhin richtungsspezifisch anhand der jeweiligen Marktsituation bestimmt werden. Die Bundesnetzagentur sollte konkretisieren, was sie sich außerdem unter einem Gleichlauf vorstellt.</w:t>
            </w:r>
          </w:p>
          <w:p w14:paraId="17858B5B" w14:textId="77777777" w:rsidR="006C3DE4" w:rsidRPr="00474F33" w:rsidRDefault="006C3DE4" w:rsidP="00C17832"/>
          <w:p w14:paraId="523B484E" w14:textId="1D90F28E" w:rsidR="00474F33" w:rsidRPr="006C3DE4" w:rsidRDefault="00474F33" w:rsidP="00C17832">
            <w:pPr>
              <w:rPr>
                <w:b/>
                <w:bCs/>
              </w:rPr>
            </w:pPr>
            <w:bookmarkStart w:id="15" w:name="_Toc236841277"/>
            <w:bookmarkStart w:id="16" w:name="_Toc236841544"/>
            <w:bookmarkStart w:id="17" w:name="_Toc237883250"/>
            <w:r w:rsidRPr="006C3DE4">
              <w:rPr>
                <w:b/>
                <w:bCs/>
              </w:rPr>
              <w:t>Saisonale Differenzierung einfach halten</w:t>
            </w:r>
            <w:bookmarkEnd w:id="15"/>
            <w:bookmarkEnd w:id="16"/>
            <w:bookmarkEnd w:id="17"/>
          </w:p>
          <w:p w14:paraId="2454C416" w14:textId="77777777" w:rsidR="00C17832" w:rsidRPr="00474F33" w:rsidRDefault="00C17832" w:rsidP="00C17832"/>
          <w:p w14:paraId="424D6C5D" w14:textId="62D0E637" w:rsidR="00474F33" w:rsidRPr="00474F33" w:rsidRDefault="00474F33" w:rsidP="00C17832">
            <w:r w:rsidRPr="00474F33">
              <w:t xml:space="preserve">Der BDEW kann nachvollziehen, dass das Verhältnis zwischen verfügbaren L-Gas-Entry-Kapazitäten und dem tatsächlichen L-Gas-Absatz saisonal unterschiedlich ausfällt. Eine saisonale Differenzierung des Entgelts ist damit jedoch nicht sachgerecht begründbar. Das Ziel der Konvertierung ist es, die physikalischen Netzrestriktionen im qualitätsübergreifenden Marktgebiet managen zu können und die Kosten der Umwandlungsdienstleistung verrechnen zu können. Eine saisonale Differenzierung würde das Ziel der Marktintegration von L- und H-Gas zuwiderlaufen, da das Konvertierungsentgelt dann selbst zum Arbitrageobjekt werden könnte. Es geht nicht um die Frage „Wann konvertiert wird?“ sondern „Wer verursacht die Notwendigkeit zur Konvertierung und die daraus entstehenden Kosten?“ </w:t>
            </w:r>
          </w:p>
        </w:tc>
      </w:tr>
      <w:tr w:rsidR="00474F33" w14:paraId="1505FD7A" w14:textId="77777777" w:rsidTr="005F5560">
        <w:tc>
          <w:tcPr>
            <w:tcW w:w="4240" w:type="dxa"/>
          </w:tcPr>
          <w:p w14:paraId="48177B9D" w14:textId="14DDCF9C" w:rsidR="00474F33" w:rsidRPr="00474F33" w:rsidRDefault="00474F33" w:rsidP="00474F33">
            <w:r>
              <w:lastRenderedPageBreak/>
              <w:t>Anmerkungen zur Konvertierungsumlage an Gasspeichern</w:t>
            </w:r>
          </w:p>
        </w:tc>
        <w:tc>
          <w:tcPr>
            <w:tcW w:w="11148" w:type="dxa"/>
          </w:tcPr>
          <w:p w14:paraId="5A541FD9" w14:textId="77777777" w:rsidR="00474F33" w:rsidRDefault="00474F33" w:rsidP="00C17832">
            <w:r w:rsidRPr="00C17832">
              <w:t xml:space="preserve">Während das Konvertierungsentgelt mit seiner Anreizwirkung grundsätzlich auf das Verursacherprinzip abstellt, dient die Konvertierungsumlage der Deckung der verbleibenden Kosten des Konvertierungssystems bzw. dem Ausgleich des Konvertierungskontos. Da die Konvertierungsumlage nicht an die tatsächliche Inanspruchnahme von Konvertierung gekoppelt ist, sondern auf sämtliche Entry-Mengen in das Marktgebiet erhoben wird, werden somit auch Marktteilnehmer belastet, die keinen Konvertierungsbedarf verursachen. Die Umlage weist daher den Charakter einer gewissen Quersubventionierung zwischen den Marktteilnehmern auf und bewirkt eine Sozialisierung der verbleibenden Konvertierungskosten innerhalb des Marktgebiets. </w:t>
            </w:r>
          </w:p>
          <w:p w14:paraId="118DA53B" w14:textId="77777777" w:rsidR="00C17832" w:rsidRDefault="00C17832" w:rsidP="00C17832"/>
          <w:p w14:paraId="6856B4C7" w14:textId="77777777" w:rsidR="00474F33" w:rsidRDefault="00474F33" w:rsidP="00C17832">
            <w:r>
              <w:t xml:space="preserve">Der BDEW bekräftigt daher seine bereits im Jahr 2016 vertretene Position, dass </w:t>
            </w:r>
            <w:r w:rsidRPr="00BD1CAB">
              <w:t xml:space="preserve">die Erhebung einer Umlage auf die </w:t>
            </w:r>
            <w:r>
              <w:t>aus</w:t>
            </w:r>
            <w:r w:rsidRPr="00BD1CAB">
              <w:t xml:space="preserve"> Gasspeichern </w:t>
            </w:r>
            <w:r>
              <w:t>in das Netz eingespeisten</w:t>
            </w:r>
            <w:r w:rsidRPr="00BD1CAB">
              <w:t xml:space="preserve"> Mengen nicht sachgerecht</w:t>
            </w:r>
            <w:r>
              <w:t xml:space="preserve"> ist</w:t>
            </w:r>
            <w:r w:rsidRPr="00BD1CAB">
              <w:t xml:space="preserve">, da die in Speichern eingelagerten Gasmengen </w:t>
            </w:r>
            <w:r>
              <w:t xml:space="preserve">aktuell </w:t>
            </w:r>
            <w:r w:rsidRPr="00BD1CAB">
              <w:t xml:space="preserve">doppelt </w:t>
            </w:r>
            <w:r>
              <w:t xml:space="preserve">mit der Umlage </w:t>
            </w:r>
            <w:r w:rsidRPr="00BD1CAB">
              <w:t xml:space="preserve">belastet </w:t>
            </w:r>
            <w:r>
              <w:t xml:space="preserve">und damit überproportional an der Sozialisierung der verbleibenden Konvertierungskosten beteiligt </w:t>
            </w:r>
            <w:r w:rsidRPr="00BD1CAB">
              <w:t>werden</w:t>
            </w:r>
            <w:r>
              <w:t>. Die doppelte Belastung der in inländischen Speichern zwischengespeicherten Gasmengen stellt auch einen Wettbewerbsnachteil der deutschen Gasspeicher gegenüber Speichern im benachbarten Ausland dar, deren ausgespeicherte Gasmengen nur einmal - nämlich beim Import in das deutsche Marktgebiet - mit der Umlage belastet werden.</w:t>
            </w:r>
          </w:p>
          <w:p w14:paraId="1D77896F" w14:textId="77777777" w:rsidR="00C17832" w:rsidRDefault="00C17832" w:rsidP="00C17832"/>
          <w:p w14:paraId="6162142D" w14:textId="77777777" w:rsidR="00474F33" w:rsidRDefault="00474F33" w:rsidP="00C17832">
            <w:r>
              <w:t>Die Konvertierungsumlage stellt somit einen relevanten Kostenfaktor der Speichernutzung dar und ist zur Hürde für die marktliche Buchung und Befüllung geworden. Der Entfall der</w:t>
            </w:r>
            <w:r w:rsidRPr="00D57921">
              <w:t xml:space="preserve"> Konvertierungsumlage von aktuell 0,18 Euro</w:t>
            </w:r>
            <w:r>
              <w:t>/MWh</w:t>
            </w:r>
            <w:r w:rsidRPr="00D57921">
              <w:t xml:space="preserve"> </w:t>
            </w:r>
            <w:r>
              <w:t>ist,</w:t>
            </w:r>
            <w:r w:rsidRPr="00D57921">
              <w:t xml:space="preserve"> </w:t>
            </w:r>
            <w:r>
              <w:t>gerade</w:t>
            </w:r>
            <w:r w:rsidRPr="00D57921">
              <w:t xml:space="preserve"> bei </w:t>
            </w:r>
            <w:r>
              <w:t xml:space="preserve">den </w:t>
            </w:r>
            <w:r w:rsidRPr="00D57921">
              <w:t xml:space="preserve">aktuell niedrigen oder </w:t>
            </w:r>
            <w:r>
              <w:t xml:space="preserve">sogar </w:t>
            </w:r>
            <w:r w:rsidRPr="00D57921">
              <w:t>negative</w:t>
            </w:r>
            <w:r>
              <w:t>n</w:t>
            </w:r>
            <w:r w:rsidRPr="00D57921">
              <w:t xml:space="preserve"> Sommer/Winter-Spread</w:t>
            </w:r>
            <w:r>
              <w:t>s,</w:t>
            </w:r>
            <w:r w:rsidRPr="00D57921">
              <w:t xml:space="preserve"> ein nicht unerhebliche</w:t>
            </w:r>
            <w:r>
              <w:t>r</w:t>
            </w:r>
            <w:r w:rsidRPr="00D57921">
              <w:t xml:space="preserve"> Hebel</w:t>
            </w:r>
            <w:r>
              <w:t xml:space="preserve">, um solche Hürden abzubauen und die marktliche Speichernutzung zu stärken. </w:t>
            </w:r>
          </w:p>
          <w:p w14:paraId="6E4ADB47" w14:textId="77777777" w:rsidR="00C17832" w:rsidRDefault="00C17832" w:rsidP="00C17832"/>
          <w:p w14:paraId="0AACF30B" w14:textId="77777777" w:rsidR="00474F33" w:rsidRDefault="00474F33" w:rsidP="00C17832">
            <w:r>
              <w:t xml:space="preserve">Eine zusätzliche Belastung der Speichernutzung steht zudem im Widerspruch zu den systemischen Funktionen von Gasspeichern. Neben dem Handelswert der saisonalen und kurzfristigen Flexibilität tragen sie zur Versorgungssicherheit und zur Systemstabilität wesentlich bei. </w:t>
            </w:r>
          </w:p>
          <w:p w14:paraId="47EE1E1C" w14:textId="70473F4F" w:rsidR="00474F33" w:rsidRDefault="00474F33" w:rsidP="00C17832">
            <w:r>
              <w:t xml:space="preserve">Die Festlegung sollte daher die Erhebung der Konvertierungsumlage an Gasspeichern, idealerweise umgehend, beenden. </w:t>
            </w:r>
          </w:p>
        </w:tc>
      </w:tr>
      <w:tr w:rsidR="00474F33" w14:paraId="3F7881D7" w14:textId="77777777" w:rsidTr="005F5560">
        <w:tc>
          <w:tcPr>
            <w:tcW w:w="4240" w:type="dxa"/>
          </w:tcPr>
          <w:p w14:paraId="6230D0E5" w14:textId="05CAC35A" w:rsidR="00474F33" w:rsidRDefault="00474F33" w:rsidP="00474F33">
            <w:pPr>
              <w:pStyle w:val="Listenabsatz"/>
              <w:numPr>
                <w:ilvl w:val="0"/>
                <w:numId w:val="5"/>
              </w:numPr>
            </w:pPr>
            <w:r w:rsidRPr="00474F33">
              <w:t>Anpassungen des Ausschüttungsmechanismus und Evaluierungspflicht</w:t>
            </w:r>
          </w:p>
          <w:p w14:paraId="0A67D883" w14:textId="0D19F385" w:rsidR="00474F33" w:rsidRPr="00474F33" w:rsidRDefault="00474F33" w:rsidP="00474F33">
            <w:pPr>
              <w:pStyle w:val="Listenabsatz"/>
              <w:ind w:left="1080"/>
            </w:pPr>
          </w:p>
        </w:tc>
        <w:tc>
          <w:tcPr>
            <w:tcW w:w="11148" w:type="dxa"/>
          </w:tcPr>
          <w:p w14:paraId="0C1E1A76" w14:textId="77777777" w:rsidR="00474F33" w:rsidRDefault="00474F33" w:rsidP="00474F33">
            <w:r>
              <w:t xml:space="preserve">Der BDEW lehnt den Vorschlag ab, einen nach Ende des Konvertierungssystems verbleibenden Saldo des Konvertierungskontos pauschal in das Umlagesystem nach </w:t>
            </w:r>
            <w:proofErr w:type="spellStart"/>
            <w:r>
              <w:t>GaBi</w:t>
            </w:r>
            <w:proofErr w:type="spellEnd"/>
            <w:r>
              <w:t xml:space="preserve"> Gas zu überführen. Die Konvertierungsumlage und die Bilanzierungsumlagen werden auf unterschiedlichen Grundlagen erhoben und treffen unterschiedliche Gruppen von Marktteilnehmern. Eine Überführung in das </w:t>
            </w:r>
            <w:proofErr w:type="spellStart"/>
            <w:r>
              <w:t>GaBi</w:t>
            </w:r>
            <w:proofErr w:type="spellEnd"/>
            <w:r>
              <w:t>-Gas-System würde daher nicht sicherstellen, dass diejenigen Marktteilnehmer entlastet werden, die zuvor das Konvertierungssystem finanziert haben.</w:t>
            </w:r>
          </w:p>
          <w:p w14:paraId="32AD3DA2" w14:textId="77777777" w:rsidR="00C17832" w:rsidRDefault="00C17832" w:rsidP="00474F33"/>
          <w:p w14:paraId="79E9DA7C" w14:textId="77777777" w:rsidR="00474F33" w:rsidRDefault="00474F33" w:rsidP="00474F33">
            <w:r>
              <w:lastRenderedPageBreak/>
              <w:t xml:space="preserve">Vor allem Marktteilnehmer, die über Entry-Mengen zur Finanzierung des Konvertierungskontos beigetragen haben, würden bei einer Rückführung über Exit-Mengen nicht in gleicher Weise berücksichtigt. Eine bloße Umbuchung des Saldos von einem Umlagesystem in ein anderes wäre daher weder verursachungsgerecht noch diskriminierungsfrei. </w:t>
            </w:r>
          </w:p>
          <w:p w14:paraId="1B6FBB0A" w14:textId="77777777" w:rsidR="00474F33" w:rsidRDefault="00474F33" w:rsidP="00474F33">
            <w:r>
              <w:t xml:space="preserve">Positive Salden des Konvertierungskontos müssen den Marktteilnehmern zugutekommen, die die entsprechenden Mittel über Konvertierungsumlage aufgebracht haben. Eine Rückvergütung sollte anhand der von den einzelnen Bilanzkreisverantwortlichen tatsächlich gezahlten Beträge erfolgen. </w:t>
            </w:r>
            <w:r w:rsidRPr="00993798">
              <w:t>Der Betrachtungszeitraum sollte ganze Gaswirtschaftsjahre umfassen und so weit zurückreichen, bis die Summe der berücksichtigten Umlagezahlungen mindestens den auszuschüttenden Saldo erreicht.</w:t>
            </w:r>
            <w:r>
              <w:t xml:space="preserve"> Ein solcher Mechanismus ist zwar administrativ aufwendiger, gewährleistet jedoch eine möglichst genaue, faire und anteilige Zuordnung.</w:t>
            </w:r>
            <w:r w:rsidRPr="001623A3">
              <w:t xml:space="preserve"> </w:t>
            </w:r>
          </w:p>
          <w:p w14:paraId="2D4C7EA8" w14:textId="77777777" w:rsidR="00C17832" w:rsidRDefault="00C17832" w:rsidP="00474F33"/>
          <w:p w14:paraId="28672901" w14:textId="77777777" w:rsidR="00474F33" w:rsidRDefault="00474F33" w:rsidP="00474F33">
            <w:r>
              <w:t xml:space="preserve">Alternativ wäre die Ausschüttung des verbleibenden Saldos des Konvertierungskontos über eine negative Konvertierungsumlage denkbar. Dazu wäre es erforderlich, dem Marktgebietsverantwortlichen zu ermöglichen, die Konvertierungsumlage auch mit einem negativen Wert festzulegen. Auf diese Weise könnten Überschüsse über denselben Mechanismus einer Umlage zurückgeführt werden, über den sie zuvor erhoben wurden. </w:t>
            </w:r>
            <w:r w:rsidRPr="3005FD71">
              <w:rPr>
                <w:rFonts w:ascii="Calibri" w:eastAsia="Calibri" w:hAnsi="Calibri" w:cs="Calibri"/>
              </w:rPr>
              <w:t xml:space="preserve">Durch den vollständigen Abbau des Liquiditätspuffers bis zur letzten Periode soll sichergestellt werden, dass ein verbleibender Endsaldo eindeutig den Zahlungen aus der letzten Abrechnungsperiode zugeordnet werden kann. </w:t>
            </w:r>
            <w:r>
              <w:t xml:space="preserve">Auch bei einem vollständigen Abbau des Liquiditätspuffers gewährleistet eine negative Konvertierungsumlage jedoch nicht in jedem Fall eine verursachungsgerechte Rückführung. Der verbleibende Saldo des Konvertierungskontos kann aus der Konvertierungsumlage stammen, während eine negative Umlage die Mittel allein nach der Umlagesystematik zurückverteilen würde. </w:t>
            </w:r>
            <w:r w:rsidRPr="00804E15">
              <w:t>Die Abwicklung über eine negative Umlage bringt ein aus der Prognose der Mengen herrührendes Risiko eines g</w:t>
            </w:r>
            <w:r>
              <w:t>egebenenfalls</w:t>
            </w:r>
            <w:r w:rsidRPr="00804E15">
              <w:t xml:space="preserve"> großen Restbetrages auf dem Konvertierungskonto (negativ oder positiv) mit, dessen Umgang erneut geregelt sein müsste.</w:t>
            </w:r>
          </w:p>
          <w:p w14:paraId="256DE16C" w14:textId="77777777" w:rsidR="00C17832" w:rsidRDefault="00C17832" w:rsidP="00474F33"/>
          <w:p w14:paraId="4CE9C6B2" w14:textId="08E90112" w:rsidR="00474F33" w:rsidRDefault="00474F33" w:rsidP="00474F33">
            <w:r w:rsidDel="001623A3">
              <w:t xml:space="preserve">Da sich eine Änderung der Abrechnungsgrundlage auch auf Jahre hinweg nicht ausschließen lässt, wie z.B. Folgen von Gerichtsprozessen, sollten etwaige nach einem zu definierenden Stichtag entstehenden oder verbleibenden Restbeträge (positiv wie negativ) in die </w:t>
            </w:r>
            <w:proofErr w:type="spellStart"/>
            <w:r w:rsidDel="001623A3">
              <w:t>GaBi</w:t>
            </w:r>
            <w:proofErr w:type="spellEnd"/>
            <w:r w:rsidDel="001623A3">
              <w:t xml:space="preserve">-Umlagekonten überführt werden können. </w:t>
            </w:r>
          </w:p>
        </w:tc>
      </w:tr>
      <w:tr w:rsidR="00474F33" w14:paraId="03B08904" w14:textId="77777777" w:rsidTr="005F5560">
        <w:tc>
          <w:tcPr>
            <w:tcW w:w="4240" w:type="dxa"/>
          </w:tcPr>
          <w:p w14:paraId="1B5B30B5" w14:textId="5E8B978E" w:rsidR="00474F33" w:rsidRPr="00474F33" w:rsidRDefault="00474F33" w:rsidP="00474F33">
            <w:r>
              <w:lastRenderedPageBreak/>
              <w:t>Anmerkungen zu Evaluierungs- und Transparenzpflichten</w:t>
            </w:r>
          </w:p>
        </w:tc>
        <w:tc>
          <w:tcPr>
            <w:tcW w:w="11148" w:type="dxa"/>
          </w:tcPr>
          <w:p w14:paraId="505C5FCF" w14:textId="77777777" w:rsidR="00474F33" w:rsidRDefault="00474F33" w:rsidP="00474F33">
            <w:r>
              <w:t>Der BDEW erkennt an, dass der Marktgebietsverantwortliche bei der Kalkulation Unsicherheiten und Liquiditätsrisiken berücksichtigen muss. Dies darf jedoch nicht zu einer dauerhaft übervorsichtigen Bemessung führen, bei der erhebliche Mittel auf dem Konvertierungskonto gebunden werden. Aus der Verfahrenseinleitung wird nicht abschließend deutlich, welche konkrete Evaluierungspflicht künftig entfallen oder ersetzt werden soll. Dies sollte klar definiert werden.</w:t>
            </w:r>
          </w:p>
          <w:p w14:paraId="02D47320" w14:textId="77777777" w:rsidR="00474F33" w:rsidRDefault="00474F33" w:rsidP="00474F33">
            <w:r>
              <w:t xml:space="preserve">Die kurze verbleibende Laufzeit des Konvertierungssystems kann eine Verschlankung der Berichterstattung rechtfertigen. Sie rechtfertigt jedoch keinen Verzicht auf die inhaltliche Prüfung und Begründung. Die bestehenden Veröffentlichungs- und Transparenzpflichten müssen uneingeschränkt erhalten bleiben. </w:t>
            </w:r>
          </w:p>
          <w:p w14:paraId="14686327" w14:textId="77777777" w:rsidR="00474F33" w:rsidRDefault="00474F33" w:rsidP="00474F33"/>
        </w:tc>
      </w:tr>
      <w:tr w:rsidR="00474F33" w14:paraId="22D04ACF" w14:textId="77777777" w:rsidTr="005F5560">
        <w:tc>
          <w:tcPr>
            <w:tcW w:w="4240" w:type="dxa"/>
          </w:tcPr>
          <w:p w14:paraId="5106520F" w14:textId="51F4E175" w:rsidR="00474F33" w:rsidRPr="00474F33" w:rsidRDefault="00474F33" w:rsidP="00474F33">
            <w:r>
              <w:lastRenderedPageBreak/>
              <w:t>Fazit</w:t>
            </w:r>
          </w:p>
        </w:tc>
        <w:tc>
          <w:tcPr>
            <w:tcW w:w="11148" w:type="dxa"/>
          </w:tcPr>
          <w:p w14:paraId="43CDBC35" w14:textId="77777777" w:rsidR="00474F33" w:rsidRDefault="00474F33" w:rsidP="00474F33">
            <w:r>
              <w:t xml:space="preserve">Der BDEW erkennt an, dass die Entwicklung der bilanziellen Konvertierung in Richtung L-Gas nach H-Gas und die daraus resultierenden Kosten eine Überprüfung des bestehenden Konvertierungssystems erforderlich machen. Die Möglichkeit zur Einführung eines Konvertierungsentgelts ist ein sinnvolles zusätzliches Instrument. </w:t>
            </w:r>
          </w:p>
          <w:p w14:paraId="6C3168C7" w14:textId="77777777" w:rsidR="00474F33" w:rsidRDefault="00474F33" w:rsidP="00474F33"/>
          <w:p w14:paraId="46BA281A" w14:textId="77777777" w:rsidR="00474F33" w:rsidRDefault="00474F33" w:rsidP="00474F33">
            <w:r>
              <w:t xml:space="preserve">Die Ausgestaltung muss einfach, transparent und planbar sein; </w:t>
            </w:r>
            <w:proofErr w:type="spellStart"/>
            <w:r>
              <w:t>nichtzuletzt</w:t>
            </w:r>
            <w:proofErr w:type="spellEnd"/>
            <w:r>
              <w:t xml:space="preserve"> aufgrund der kurzen verbleibenden Laufzeit des Systems. Besonders wichtig sind eine klare Regelung des Rumpfzeitraums, eine einheitliche Entgeltobergrenze, die Vermeidung doppelter bzw. überproportionaler Kostendeckung sowie die frühzeitige Veröffentlichung sämtlicher Entgeltparameter.</w:t>
            </w:r>
          </w:p>
          <w:p w14:paraId="57F71CB2" w14:textId="77777777" w:rsidR="00474F33" w:rsidRDefault="00474F33" w:rsidP="00474F33"/>
          <w:p w14:paraId="6EA14808" w14:textId="77777777" w:rsidR="00474F33" w:rsidRDefault="00474F33" w:rsidP="00474F33">
            <w:r>
              <w:t xml:space="preserve">Die Erhebung der Konvertierungsumlage an Gasspeichern ist, idealerweise umgehend, zu beenden. </w:t>
            </w:r>
          </w:p>
          <w:p w14:paraId="3C554BE6" w14:textId="77777777" w:rsidR="00474F33" w:rsidRDefault="00474F33" w:rsidP="00474F33">
            <w:r>
              <w:t xml:space="preserve">Die Überführung verbleibender Salden in das </w:t>
            </w:r>
            <w:proofErr w:type="spellStart"/>
            <w:r>
              <w:t>GaBi</w:t>
            </w:r>
            <w:proofErr w:type="spellEnd"/>
            <w:r>
              <w:t xml:space="preserve">-Gas-Umlagesystem lehnt der BDEW ab. Die Rückführung muss spiegelbildlich an die Marktteilnehmer erfolgen, die das Konvertierungssystem finanziert haben. </w:t>
            </w:r>
          </w:p>
          <w:p w14:paraId="7A86DCC4" w14:textId="77777777" w:rsidR="00474F33" w:rsidRDefault="00474F33" w:rsidP="00474F33"/>
        </w:tc>
      </w:tr>
    </w:tbl>
    <w:p w14:paraId="464377F5" w14:textId="77777777" w:rsidR="00AA7E0C" w:rsidRDefault="00AA7E0C"/>
    <w:sectPr w:rsidR="00AA7E0C" w:rsidSect="0054245A">
      <w:headerReference w:type="default" r:id="rId11"/>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4211" w14:textId="77777777" w:rsidR="00755CF9" w:rsidRDefault="00755CF9" w:rsidP="003A535C">
      <w:pPr>
        <w:spacing w:after="0" w:line="240" w:lineRule="auto"/>
      </w:pPr>
      <w:r>
        <w:separator/>
      </w:r>
    </w:p>
  </w:endnote>
  <w:endnote w:type="continuationSeparator" w:id="0">
    <w:p w14:paraId="7EFDEBE2" w14:textId="77777777" w:rsidR="00755CF9" w:rsidRDefault="00755CF9" w:rsidP="003A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0BFEF" w14:textId="77777777" w:rsidR="00755CF9" w:rsidRDefault="00755CF9" w:rsidP="003A535C">
      <w:pPr>
        <w:spacing w:after="0" w:line="240" w:lineRule="auto"/>
      </w:pPr>
      <w:r>
        <w:separator/>
      </w:r>
    </w:p>
  </w:footnote>
  <w:footnote w:type="continuationSeparator" w:id="0">
    <w:p w14:paraId="5294AD99" w14:textId="77777777" w:rsidR="00755CF9" w:rsidRDefault="00755CF9" w:rsidP="003A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362779"/>
      <w:docPartObj>
        <w:docPartGallery w:val="Page Numbers (Top of Page)"/>
        <w:docPartUnique/>
      </w:docPartObj>
    </w:sdtPr>
    <w:sdtEndPr/>
    <w:sdtContent>
      <w:p w14:paraId="39803CAC" w14:textId="1800142F" w:rsidR="00B01631" w:rsidRDefault="00B01631">
        <w:pPr>
          <w:pStyle w:val="Kopfzeile"/>
          <w:jc w:val="center"/>
        </w:pPr>
        <w:r>
          <w:fldChar w:fldCharType="begin"/>
        </w:r>
        <w:r>
          <w:instrText>PAGE   \* MERGEFORMAT</w:instrText>
        </w:r>
        <w:r>
          <w:fldChar w:fldCharType="separate"/>
        </w:r>
        <w:r w:rsidR="005E2131">
          <w:rPr>
            <w:noProof/>
          </w:rPr>
          <w:t>2</w:t>
        </w:r>
        <w:r>
          <w:fldChar w:fldCharType="end"/>
        </w:r>
      </w:p>
    </w:sdtContent>
  </w:sdt>
  <w:p w14:paraId="008B6602" w14:textId="77777777" w:rsidR="00B01631" w:rsidRDefault="00B016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788"/>
    <w:multiLevelType w:val="hybridMultilevel"/>
    <w:tmpl w:val="55923E10"/>
    <w:lvl w:ilvl="0" w:tplc="DB782580">
      <w:start w:val="1"/>
      <w:numFmt w:val="bullet"/>
      <w:pStyle w:val="Aufzhlungszeichen1"/>
      <w:lvlText w:val="›"/>
      <w:lvlJc w:val="left"/>
      <w:pPr>
        <w:ind w:left="644" w:hanging="360"/>
      </w:pPr>
      <w:rPr>
        <w:rFonts w:ascii="Calibri" w:hAnsi="Calibri" w:cs="Calibri" w:hint="default"/>
        <w:b w:val="0"/>
        <w:i w:val="0"/>
        <w:color w:val="EEECE1" w:themeColor="background2"/>
        <w:sz w:val="24"/>
        <w:u w:color="EEECE1" w:themeColor="background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7635D6"/>
    <w:multiLevelType w:val="hybridMultilevel"/>
    <w:tmpl w:val="DBF86970"/>
    <w:lvl w:ilvl="0" w:tplc="36E44F88">
      <w:start w:val="1"/>
      <w:numFmt w:val="bullet"/>
      <w:lvlText w:val="-"/>
      <w:lvlJc w:val="left"/>
      <w:pPr>
        <w:ind w:left="644" w:hanging="360"/>
      </w:pPr>
      <w:rPr>
        <w:rFonts w:ascii="Calibri" w:eastAsiaTheme="minorHAnsi" w:hAnsi="Calibri" w:cs="Calibri" w:hint="default"/>
        <w:b w:val="0"/>
        <w:i w:val="0"/>
        <w:color w:val="EEECE1" w:themeColor="background2"/>
        <w:sz w:val="24"/>
        <w:u w:color="EEECE1" w:themeColor="background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3136BD"/>
    <w:multiLevelType w:val="hybridMultilevel"/>
    <w:tmpl w:val="AF222F56"/>
    <w:lvl w:ilvl="0" w:tplc="04070001">
      <w:start w:val="1"/>
      <w:numFmt w:val="bullet"/>
      <w:lvlText w:val=""/>
      <w:lvlJc w:val="left"/>
      <w:pPr>
        <w:ind w:left="644" w:hanging="360"/>
      </w:pPr>
      <w:rPr>
        <w:rFonts w:ascii="Symbol" w:hAnsi="Symbol" w:hint="default"/>
        <w:b w:val="0"/>
        <w:i w:val="0"/>
        <w:color w:val="EEECE1" w:themeColor="background2"/>
        <w:sz w:val="24"/>
        <w:u w:color="EEECE1" w:themeColor="background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EC0707"/>
    <w:multiLevelType w:val="hybridMultilevel"/>
    <w:tmpl w:val="E40C42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8C0D08"/>
    <w:multiLevelType w:val="hybridMultilevel"/>
    <w:tmpl w:val="9CD8AD44"/>
    <w:lvl w:ilvl="0" w:tplc="36E44F8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E94E29"/>
    <w:multiLevelType w:val="multilevel"/>
    <w:tmpl w:val="04070023"/>
    <w:styleLink w:val="ArtikelAbschnitt"/>
    <w:lvl w:ilvl="0">
      <w:start w:val="1"/>
      <w:numFmt w:val="upperRoman"/>
      <w:lvlText w:val="Artikel %1."/>
      <w:lvlJc w:val="left"/>
      <w:pPr>
        <w:tabs>
          <w:tab w:val="num" w:pos="2880"/>
        </w:tabs>
        <w:ind w:left="0" w:firstLine="0"/>
      </w:pPr>
    </w:lvl>
    <w:lvl w:ilvl="1">
      <w:start w:val="1"/>
      <w:numFmt w:val="decimalZero"/>
      <w:isLgl/>
      <w:lvlText w:val="Abschnitt %1.%2"/>
      <w:lvlJc w:val="left"/>
      <w:pPr>
        <w:tabs>
          <w:tab w:val="num" w:pos="36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41922F9D"/>
    <w:multiLevelType w:val="hybridMultilevel"/>
    <w:tmpl w:val="3F201230"/>
    <w:lvl w:ilvl="0" w:tplc="EE026B86">
      <w:start w:val="1"/>
      <w:numFmt w:val="upp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BB1893"/>
    <w:multiLevelType w:val="hybridMultilevel"/>
    <w:tmpl w:val="4AF284A8"/>
    <w:lvl w:ilvl="0" w:tplc="EE026B8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F874094"/>
    <w:multiLevelType w:val="hybridMultilevel"/>
    <w:tmpl w:val="EB4AF52A"/>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01C097C"/>
    <w:multiLevelType w:val="multilevel"/>
    <w:tmpl w:val="93A81884"/>
    <w:styleLink w:val="BDEWGliederungnumerisch"/>
    <w:lvl w:ilvl="0">
      <w:start w:val="1"/>
      <w:numFmt w:val="decimal"/>
      <w:lvlRestart w:val="0"/>
      <w:pStyle w:val="berschrift1"/>
      <w:lvlText w:val="%1"/>
      <w:lvlJc w:val="left"/>
      <w:pPr>
        <w:ind w:left="425" w:hanging="425"/>
      </w:pPr>
      <w:rPr>
        <w:rFonts w:hint="default"/>
      </w:rPr>
    </w:lvl>
    <w:lvl w:ilvl="1">
      <w:start w:val="1"/>
      <w:numFmt w:val="decimal"/>
      <w:pStyle w:val="berschrift2"/>
      <w:lvlText w:val="%1.%2"/>
      <w:lvlJc w:val="left"/>
      <w:pPr>
        <w:ind w:left="425" w:hanging="425"/>
      </w:pPr>
      <w:rPr>
        <w:rFonts w:hint="default"/>
      </w:rPr>
    </w:lvl>
    <w:lvl w:ilvl="2">
      <w:start w:val="1"/>
      <w:numFmt w:val="decimal"/>
      <w:pStyle w:val="berschrift3"/>
      <w:lvlText w:val="%1.%2.%3"/>
      <w:lvlJc w:val="left"/>
      <w:pPr>
        <w:tabs>
          <w:tab w:val="num" w:pos="850"/>
        </w:tabs>
        <w:ind w:left="850" w:hanging="850"/>
      </w:pPr>
      <w:rPr>
        <w:rFonts w:hint="default"/>
      </w:rPr>
    </w:lvl>
    <w:lvl w:ilvl="3">
      <w:start w:val="1"/>
      <w:numFmt w:val="decimal"/>
      <w:pStyle w:val="berschrift4"/>
      <w:lvlText w:val="%1.%2.%3.%4"/>
      <w:lvlJc w:val="left"/>
      <w:pPr>
        <w:tabs>
          <w:tab w:val="num" w:pos="850"/>
        </w:tabs>
        <w:ind w:left="850" w:hanging="850"/>
      </w:pPr>
      <w:rPr>
        <w:rFonts w:hint="default"/>
      </w:rPr>
    </w:lvl>
    <w:lvl w:ilvl="4">
      <w:start w:val="1"/>
      <w:numFmt w:val="decimal"/>
      <w:pStyle w:val="berschrift5"/>
      <w:lvlText w:val="%1.%2.%3.%4.%5"/>
      <w:lvlJc w:val="left"/>
      <w:pPr>
        <w:tabs>
          <w:tab w:val="num" w:pos="1276"/>
        </w:tabs>
        <w:ind w:left="1276" w:hanging="1276"/>
      </w:pPr>
      <w:rPr>
        <w:rFonts w:hint="default"/>
      </w:rPr>
    </w:lvl>
    <w:lvl w:ilvl="5">
      <w:start w:val="1"/>
      <w:numFmt w:val="decimal"/>
      <w:pStyle w:val="berschrift6"/>
      <w:lvlText w:val="%1.%2.%3.%4.%5.%6"/>
      <w:lvlJc w:val="left"/>
      <w:pPr>
        <w:tabs>
          <w:tab w:val="num" w:pos="1276"/>
        </w:tabs>
        <w:ind w:left="1276" w:hanging="1276"/>
      </w:pPr>
      <w:rPr>
        <w:rFonts w:hint="default"/>
      </w:rPr>
    </w:lvl>
    <w:lvl w:ilvl="6">
      <w:start w:val="1"/>
      <w:numFmt w:val="decimal"/>
      <w:pStyle w:val="berschrift7"/>
      <w:lvlText w:val="%1.%2.%3.%4.%5.%6.%7"/>
      <w:lvlJc w:val="left"/>
      <w:pPr>
        <w:tabs>
          <w:tab w:val="num" w:pos="1701"/>
        </w:tabs>
        <w:ind w:left="1701" w:hanging="1701"/>
      </w:pPr>
      <w:rPr>
        <w:rFonts w:hint="default"/>
      </w:rPr>
    </w:lvl>
    <w:lvl w:ilvl="7">
      <w:start w:val="1"/>
      <w:numFmt w:val="decimal"/>
      <w:pStyle w:val="berschrift8"/>
      <w:lvlText w:val="%1.%2.%3.%4.%5.%6.%7.%8"/>
      <w:lvlJc w:val="left"/>
      <w:pPr>
        <w:tabs>
          <w:tab w:val="num" w:pos="1701"/>
        </w:tabs>
        <w:ind w:left="1701" w:hanging="1701"/>
      </w:pPr>
      <w:rPr>
        <w:rFonts w:hint="default"/>
      </w:rPr>
    </w:lvl>
    <w:lvl w:ilvl="8">
      <w:start w:val="1"/>
      <w:numFmt w:val="decimal"/>
      <w:pStyle w:val="berschrift9"/>
      <w:lvlText w:val="%1.%2.%3.%4.%5.%6.%7.%8.%9"/>
      <w:lvlJc w:val="left"/>
      <w:pPr>
        <w:tabs>
          <w:tab w:val="num" w:pos="1701"/>
        </w:tabs>
        <w:ind w:left="1701" w:hanging="1701"/>
      </w:pPr>
      <w:rPr>
        <w:rFonts w:hint="default"/>
      </w:rPr>
    </w:lvl>
  </w:abstractNum>
  <w:abstractNum w:abstractNumId="10" w15:restartNumberingAfterBreak="0">
    <w:nsid w:val="5DCC26E1"/>
    <w:multiLevelType w:val="hybridMultilevel"/>
    <w:tmpl w:val="DBD2995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7903311A"/>
    <w:multiLevelType w:val="hybridMultilevel"/>
    <w:tmpl w:val="252A2848"/>
    <w:lvl w:ilvl="0" w:tplc="04070001">
      <w:start w:val="1"/>
      <w:numFmt w:val="bullet"/>
      <w:lvlText w:val=""/>
      <w:lvlJc w:val="left"/>
      <w:pPr>
        <w:ind w:left="644" w:hanging="360"/>
      </w:pPr>
      <w:rPr>
        <w:rFonts w:ascii="Symbol" w:hAnsi="Symbol" w:hint="default"/>
        <w:b w:val="0"/>
        <w:i w:val="0"/>
        <w:color w:val="EEECE1" w:themeColor="background2"/>
        <w:sz w:val="24"/>
        <w:u w:color="EEECE1" w:themeColor="background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6747830">
    <w:abstractNumId w:val="10"/>
  </w:num>
  <w:num w:numId="2" w16cid:durableId="1458252887">
    <w:abstractNumId w:val="0"/>
  </w:num>
  <w:num w:numId="3" w16cid:durableId="1530606175">
    <w:abstractNumId w:val="9"/>
  </w:num>
  <w:num w:numId="4" w16cid:durableId="1912041185">
    <w:abstractNumId w:val="9"/>
    <w:lvlOverride w:ilvl="0">
      <w:lvl w:ilvl="0">
        <w:start w:val="1"/>
        <w:numFmt w:val="decimal"/>
        <w:lvlRestart w:val="0"/>
        <w:pStyle w:val="berschrift1"/>
        <w:lvlText w:val="%1"/>
        <w:lvlJc w:val="left"/>
        <w:pPr>
          <w:ind w:left="425" w:hanging="425"/>
        </w:pPr>
        <w:rPr>
          <w:rFonts w:hint="default"/>
          <w:b/>
          <w:bCs/>
        </w:rPr>
      </w:lvl>
    </w:lvlOverride>
  </w:num>
  <w:num w:numId="5" w16cid:durableId="1949265736">
    <w:abstractNumId w:val="7"/>
  </w:num>
  <w:num w:numId="6" w16cid:durableId="1412119823">
    <w:abstractNumId w:val="4"/>
  </w:num>
  <w:num w:numId="7" w16cid:durableId="1486630013">
    <w:abstractNumId w:val="3"/>
  </w:num>
  <w:num w:numId="8" w16cid:durableId="1471555076">
    <w:abstractNumId w:val="6"/>
  </w:num>
  <w:num w:numId="9" w16cid:durableId="1059548777">
    <w:abstractNumId w:val="8"/>
  </w:num>
  <w:num w:numId="10" w16cid:durableId="46413268">
    <w:abstractNumId w:val="5"/>
  </w:num>
  <w:num w:numId="11" w16cid:durableId="188420629">
    <w:abstractNumId w:val="1"/>
  </w:num>
  <w:num w:numId="12" w16cid:durableId="544023058">
    <w:abstractNumId w:val="2"/>
  </w:num>
  <w:num w:numId="13" w16cid:durableId="20104480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5C"/>
    <w:rsid w:val="00001A2F"/>
    <w:rsid w:val="00006930"/>
    <w:rsid w:val="00030E2F"/>
    <w:rsid w:val="00055B92"/>
    <w:rsid w:val="00086C86"/>
    <w:rsid w:val="000A1389"/>
    <w:rsid w:val="000D75AD"/>
    <w:rsid w:val="001544B7"/>
    <w:rsid w:val="001712E2"/>
    <w:rsid w:val="00194BEB"/>
    <w:rsid w:val="001B4483"/>
    <w:rsid w:val="001F4C13"/>
    <w:rsid w:val="00207B53"/>
    <w:rsid w:val="00263D00"/>
    <w:rsid w:val="00286E70"/>
    <w:rsid w:val="002A3DC1"/>
    <w:rsid w:val="002A54D0"/>
    <w:rsid w:val="002D3AF5"/>
    <w:rsid w:val="002F6FB6"/>
    <w:rsid w:val="003634BB"/>
    <w:rsid w:val="0038768B"/>
    <w:rsid w:val="003936B4"/>
    <w:rsid w:val="003A535C"/>
    <w:rsid w:val="003B374F"/>
    <w:rsid w:val="003E0665"/>
    <w:rsid w:val="003E5199"/>
    <w:rsid w:val="00457D3E"/>
    <w:rsid w:val="00474F33"/>
    <w:rsid w:val="00477680"/>
    <w:rsid w:val="004978BC"/>
    <w:rsid w:val="004C53C1"/>
    <w:rsid w:val="004D5363"/>
    <w:rsid w:val="004E1508"/>
    <w:rsid w:val="004F006B"/>
    <w:rsid w:val="00513AE3"/>
    <w:rsid w:val="0054245A"/>
    <w:rsid w:val="005500F1"/>
    <w:rsid w:val="00550433"/>
    <w:rsid w:val="00562845"/>
    <w:rsid w:val="00570933"/>
    <w:rsid w:val="0058348C"/>
    <w:rsid w:val="005E2131"/>
    <w:rsid w:val="006042A4"/>
    <w:rsid w:val="00606519"/>
    <w:rsid w:val="006150DB"/>
    <w:rsid w:val="0063125F"/>
    <w:rsid w:val="006C3DE4"/>
    <w:rsid w:val="0071094E"/>
    <w:rsid w:val="00755CF9"/>
    <w:rsid w:val="007B7E76"/>
    <w:rsid w:val="007E22E9"/>
    <w:rsid w:val="007E784B"/>
    <w:rsid w:val="008127E1"/>
    <w:rsid w:val="00846253"/>
    <w:rsid w:val="008D6F6D"/>
    <w:rsid w:val="00903907"/>
    <w:rsid w:val="00954783"/>
    <w:rsid w:val="00962490"/>
    <w:rsid w:val="0097280C"/>
    <w:rsid w:val="009E5CE1"/>
    <w:rsid w:val="00A0638F"/>
    <w:rsid w:val="00A463AE"/>
    <w:rsid w:val="00AA7E0C"/>
    <w:rsid w:val="00AF72D5"/>
    <w:rsid w:val="00B01631"/>
    <w:rsid w:val="00B426A9"/>
    <w:rsid w:val="00B4453F"/>
    <w:rsid w:val="00BB4359"/>
    <w:rsid w:val="00BD0784"/>
    <w:rsid w:val="00C17832"/>
    <w:rsid w:val="00C812FB"/>
    <w:rsid w:val="00D30273"/>
    <w:rsid w:val="00DE2538"/>
    <w:rsid w:val="00DF48E8"/>
    <w:rsid w:val="00E645E8"/>
    <w:rsid w:val="00E81AC9"/>
    <w:rsid w:val="00ED6FAB"/>
    <w:rsid w:val="00F3375E"/>
    <w:rsid w:val="00F42160"/>
    <w:rsid w:val="00F57456"/>
    <w:rsid w:val="00F71C04"/>
    <w:rsid w:val="00FB009C"/>
    <w:rsid w:val="00FB5169"/>
    <w:rsid w:val="00FC46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6AE8"/>
  <w15:docId w15:val="{0C4999A8-6E20-4A23-A01F-17C7396B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BDEW-Überschrift 1"/>
    <w:basedOn w:val="Standard"/>
    <w:next w:val="Standard"/>
    <w:link w:val="berschrift1Zchn"/>
    <w:qFormat/>
    <w:rsid w:val="00474F33"/>
    <w:pPr>
      <w:keepNext/>
      <w:numPr>
        <w:numId w:val="4"/>
      </w:numPr>
      <w:spacing w:before="420" w:after="120" w:line="320" w:lineRule="atLeast"/>
      <w:outlineLvl w:val="0"/>
    </w:pPr>
    <w:rPr>
      <w:rFonts w:eastAsiaTheme="majorEastAsia" w:cs="Arial"/>
      <w:b/>
      <w:bCs/>
      <w:spacing w:val="6"/>
      <w:kern w:val="32"/>
      <w:sz w:val="24"/>
      <w:lang w:eastAsia="de-DE"/>
    </w:rPr>
  </w:style>
  <w:style w:type="paragraph" w:styleId="berschrift2">
    <w:name w:val="heading 2"/>
    <w:aliases w:val="BDEW-Überschrift 2"/>
    <w:basedOn w:val="Standard"/>
    <w:next w:val="Standard"/>
    <w:link w:val="berschrift2Zchn"/>
    <w:qFormat/>
    <w:rsid w:val="00474F33"/>
    <w:pPr>
      <w:keepNext/>
      <w:numPr>
        <w:ilvl w:val="1"/>
        <w:numId w:val="4"/>
      </w:numPr>
      <w:spacing w:before="240" w:after="120" w:line="320" w:lineRule="atLeast"/>
      <w:outlineLvl w:val="1"/>
    </w:pPr>
    <w:rPr>
      <w:rFonts w:eastAsiaTheme="majorEastAsia" w:cs="Arial"/>
      <w:b/>
      <w:bCs/>
      <w:iCs/>
      <w:sz w:val="24"/>
      <w:szCs w:val="28"/>
      <w:lang w:eastAsia="de-DE"/>
    </w:rPr>
  </w:style>
  <w:style w:type="paragraph" w:styleId="berschrift3">
    <w:name w:val="heading 3"/>
    <w:aliases w:val="BDEW-Überschrift 3"/>
    <w:basedOn w:val="Standard"/>
    <w:next w:val="Standard"/>
    <w:link w:val="berschrift3Zchn"/>
    <w:qFormat/>
    <w:rsid w:val="00474F33"/>
    <w:pPr>
      <w:keepNext/>
      <w:numPr>
        <w:ilvl w:val="2"/>
        <w:numId w:val="4"/>
      </w:numPr>
      <w:spacing w:before="240" w:after="120" w:line="320" w:lineRule="atLeast"/>
      <w:outlineLvl w:val="2"/>
    </w:pPr>
    <w:rPr>
      <w:rFonts w:eastAsiaTheme="majorEastAsia" w:cs="Arial"/>
      <w:b/>
      <w:bCs/>
      <w:sz w:val="24"/>
      <w:szCs w:val="26"/>
      <w:lang w:eastAsia="de-DE"/>
    </w:rPr>
  </w:style>
  <w:style w:type="paragraph" w:styleId="berschrift4">
    <w:name w:val="heading 4"/>
    <w:aliases w:val="BDEW-Überschrift 4"/>
    <w:basedOn w:val="Standard"/>
    <w:next w:val="Standard"/>
    <w:link w:val="berschrift4Zchn"/>
    <w:rsid w:val="00474F33"/>
    <w:pPr>
      <w:keepNext/>
      <w:numPr>
        <w:ilvl w:val="3"/>
        <w:numId w:val="4"/>
      </w:numPr>
      <w:tabs>
        <w:tab w:val="clear" w:pos="850"/>
      </w:tabs>
      <w:spacing w:before="240" w:after="120" w:line="300" w:lineRule="exact"/>
      <w:outlineLvl w:val="3"/>
    </w:pPr>
    <w:rPr>
      <w:rFonts w:eastAsiaTheme="majorEastAsia" w:cstheme="majorBidi"/>
      <w:b/>
      <w:bCs/>
      <w:sz w:val="24"/>
      <w:szCs w:val="28"/>
      <w:lang w:eastAsia="de-DE"/>
    </w:rPr>
  </w:style>
  <w:style w:type="paragraph" w:styleId="berschrift5">
    <w:name w:val="heading 5"/>
    <w:basedOn w:val="Standard"/>
    <w:next w:val="Standard"/>
    <w:link w:val="berschrift5Zchn"/>
    <w:semiHidden/>
    <w:rsid w:val="00474F33"/>
    <w:pPr>
      <w:numPr>
        <w:ilvl w:val="4"/>
        <w:numId w:val="4"/>
      </w:numPr>
      <w:spacing w:before="240" w:after="120" w:line="320" w:lineRule="atLeast"/>
      <w:outlineLvl w:val="4"/>
    </w:pPr>
    <w:rPr>
      <w:rFonts w:eastAsiaTheme="majorEastAsia" w:cstheme="majorBidi"/>
      <w:b/>
      <w:bCs/>
      <w:iCs/>
      <w:sz w:val="24"/>
      <w:szCs w:val="26"/>
      <w:lang w:eastAsia="de-DE"/>
    </w:rPr>
  </w:style>
  <w:style w:type="paragraph" w:styleId="berschrift6">
    <w:name w:val="heading 6"/>
    <w:basedOn w:val="Standard"/>
    <w:next w:val="Standard"/>
    <w:link w:val="berschrift6Zchn"/>
    <w:semiHidden/>
    <w:rsid w:val="00474F33"/>
    <w:pPr>
      <w:numPr>
        <w:ilvl w:val="5"/>
        <w:numId w:val="4"/>
      </w:numPr>
      <w:spacing w:before="240" w:after="120" w:line="320" w:lineRule="atLeast"/>
      <w:outlineLvl w:val="5"/>
    </w:pPr>
    <w:rPr>
      <w:rFonts w:eastAsiaTheme="majorEastAsia" w:cstheme="majorBidi"/>
      <w:b/>
      <w:bCs/>
      <w:sz w:val="24"/>
      <w:lang w:eastAsia="de-DE"/>
    </w:rPr>
  </w:style>
  <w:style w:type="paragraph" w:styleId="berschrift7">
    <w:name w:val="heading 7"/>
    <w:basedOn w:val="Standard"/>
    <w:next w:val="Standard"/>
    <w:link w:val="berschrift7Zchn"/>
    <w:semiHidden/>
    <w:rsid w:val="00474F33"/>
    <w:pPr>
      <w:numPr>
        <w:ilvl w:val="6"/>
        <w:numId w:val="4"/>
      </w:numPr>
      <w:spacing w:before="240" w:after="120" w:line="320" w:lineRule="atLeast"/>
      <w:outlineLvl w:val="6"/>
    </w:pPr>
    <w:rPr>
      <w:rFonts w:eastAsiaTheme="majorEastAsia" w:cstheme="majorBidi"/>
      <w:sz w:val="24"/>
      <w:szCs w:val="24"/>
      <w:lang w:eastAsia="de-DE"/>
    </w:rPr>
  </w:style>
  <w:style w:type="paragraph" w:styleId="berschrift8">
    <w:name w:val="heading 8"/>
    <w:basedOn w:val="Standard"/>
    <w:next w:val="Standard"/>
    <w:link w:val="berschrift8Zchn"/>
    <w:semiHidden/>
    <w:rsid w:val="00474F33"/>
    <w:pPr>
      <w:numPr>
        <w:ilvl w:val="7"/>
        <w:numId w:val="4"/>
      </w:numPr>
      <w:spacing w:before="240" w:after="120" w:line="320" w:lineRule="atLeast"/>
      <w:outlineLvl w:val="7"/>
    </w:pPr>
    <w:rPr>
      <w:rFonts w:eastAsiaTheme="majorEastAsia" w:cstheme="majorBidi"/>
      <w:iCs/>
      <w:sz w:val="24"/>
      <w:szCs w:val="24"/>
      <w:lang w:eastAsia="de-DE"/>
    </w:rPr>
  </w:style>
  <w:style w:type="paragraph" w:styleId="berschrift9">
    <w:name w:val="heading 9"/>
    <w:basedOn w:val="Standard"/>
    <w:next w:val="Standard"/>
    <w:link w:val="berschrift9Zchn"/>
    <w:semiHidden/>
    <w:rsid w:val="00474F33"/>
    <w:pPr>
      <w:numPr>
        <w:ilvl w:val="8"/>
        <w:numId w:val="4"/>
      </w:numPr>
      <w:spacing w:before="240" w:after="120" w:line="320" w:lineRule="atLeast"/>
      <w:outlineLvl w:val="8"/>
    </w:pPr>
    <w:rPr>
      <w:rFonts w:eastAsiaTheme="majorEastAsia" w:cs="Arial"/>
      <w:sz w:val="24"/>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A5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3A535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535C"/>
    <w:rPr>
      <w:sz w:val="20"/>
      <w:szCs w:val="20"/>
    </w:rPr>
  </w:style>
  <w:style w:type="character" w:styleId="Funotenzeichen">
    <w:name w:val="footnote reference"/>
    <w:basedOn w:val="Absatz-Standardschriftart"/>
    <w:uiPriority w:val="99"/>
    <w:semiHidden/>
    <w:unhideWhenUsed/>
    <w:rsid w:val="003A535C"/>
    <w:rPr>
      <w:vertAlign w:val="superscript"/>
    </w:rPr>
  </w:style>
  <w:style w:type="paragraph" w:styleId="Sprechblasentext">
    <w:name w:val="Balloon Text"/>
    <w:basedOn w:val="Standard"/>
    <w:link w:val="SprechblasentextZchn"/>
    <w:uiPriority w:val="99"/>
    <w:semiHidden/>
    <w:unhideWhenUsed/>
    <w:rsid w:val="005628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62845"/>
    <w:rPr>
      <w:rFonts w:ascii="Tahoma" w:hAnsi="Tahoma" w:cs="Tahoma"/>
      <w:sz w:val="16"/>
      <w:szCs w:val="16"/>
    </w:rPr>
  </w:style>
  <w:style w:type="paragraph" w:styleId="Kopfzeile">
    <w:name w:val="header"/>
    <w:basedOn w:val="Standard"/>
    <w:link w:val="KopfzeileZchn"/>
    <w:uiPriority w:val="99"/>
    <w:unhideWhenUsed/>
    <w:rsid w:val="00B016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631"/>
  </w:style>
  <w:style w:type="paragraph" w:styleId="Fuzeile">
    <w:name w:val="footer"/>
    <w:basedOn w:val="Standard"/>
    <w:link w:val="FuzeileZchn"/>
    <w:uiPriority w:val="99"/>
    <w:unhideWhenUsed/>
    <w:rsid w:val="00B016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631"/>
  </w:style>
  <w:style w:type="character" w:styleId="Kommentarzeichen">
    <w:name w:val="annotation reference"/>
    <w:basedOn w:val="Absatz-Standardschriftart"/>
    <w:uiPriority w:val="99"/>
    <w:semiHidden/>
    <w:unhideWhenUsed/>
    <w:rsid w:val="0038768B"/>
    <w:rPr>
      <w:sz w:val="16"/>
      <w:szCs w:val="16"/>
    </w:rPr>
  </w:style>
  <w:style w:type="paragraph" w:styleId="Kommentartext">
    <w:name w:val="annotation text"/>
    <w:basedOn w:val="Standard"/>
    <w:link w:val="KommentartextZchn"/>
    <w:uiPriority w:val="99"/>
    <w:semiHidden/>
    <w:unhideWhenUsed/>
    <w:rsid w:val="003876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768B"/>
    <w:rPr>
      <w:sz w:val="20"/>
      <w:szCs w:val="20"/>
    </w:rPr>
  </w:style>
  <w:style w:type="paragraph" w:styleId="Kommentarthema">
    <w:name w:val="annotation subject"/>
    <w:basedOn w:val="Kommentartext"/>
    <w:next w:val="Kommentartext"/>
    <w:link w:val="KommentarthemaZchn"/>
    <w:uiPriority w:val="99"/>
    <w:semiHidden/>
    <w:unhideWhenUsed/>
    <w:rsid w:val="0038768B"/>
    <w:rPr>
      <w:b/>
      <w:bCs/>
    </w:rPr>
  </w:style>
  <w:style w:type="character" w:customStyle="1" w:styleId="KommentarthemaZchn">
    <w:name w:val="Kommentarthema Zchn"/>
    <w:basedOn w:val="KommentartextZchn"/>
    <w:link w:val="Kommentarthema"/>
    <w:uiPriority w:val="99"/>
    <w:semiHidden/>
    <w:rsid w:val="0038768B"/>
    <w:rPr>
      <w:b/>
      <w:bCs/>
      <w:sz w:val="20"/>
      <w:szCs w:val="20"/>
    </w:rPr>
  </w:style>
  <w:style w:type="character" w:customStyle="1" w:styleId="markedcontent">
    <w:name w:val="markedcontent"/>
    <w:basedOn w:val="Absatz-Standardschriftart"/>
    <w:rsid w:val="00AF72D5"/>
  </w:style>
  <w:style w:type="paragraph" w:customStyle="1" w:styleId="Aufzhlungszeichen1">
    <w:name w:val="Aufzählungszeichen 1"/>
    <w:basedOn w:val="Standard"/>
    <w:qFormat/>
    <w:rsid w:val="00474F33"/>
    <w:pPr>
      <w:numPr>
        <w:numId w:val="2"/>
      </w:numPr>
      <w:spacing w:after="120" w:line="320" w:lineRule="atLeast"/>
    </w:pPr>
    <w:rPr>
      <w:rFonts w:eastAsia="Times New Roman"/>
      <w:sz w:val="24"/>
      <w:szCs w:val="24"/>
      <w:lang w:eastAsia="de-DE"/>
    </w:rPr>
  </w:style>
  <w:style w:type="character" w:customStyle="1" w:styleId="berschrift1Zchn">
    <w:name w:val="Überschrift 1 Zchn"/>
    <w:basedOn w:val="Absatz-Standardschriftart"/>
    <w:link w:val="berschrift1"/>
    <w:rsid w:val="00474F33"/>
    <w:rPr>
      <w:rFonts w:eastAsiaTheme="majorEastAsia" w:cs="Arial"/>
      <w:b/>
      <w:bCs/>
      <w:spacing w:val="6"/>
      <w:kern w:val="32"/>
      <w:sz w:val="24"/>
      <w:lang w:eastAsia="de-DE"/>
    </w:rPr>
  </w:style>
  <w:style w:type="character" w:customStyle="1" w:styleId="berschrift2Zchn">
    <w:name w:val="Überschrift 2 Zchn"/>
    <w:aliases w:val="BDEW-Überschrift 2 Zchn"/>
    <w:basedOn w:val="Absatz-Standardschriftart"/>
    <w:link w:val="berschrift2"/>
    <w:rsid w:val="00474F33"/>
    <w:rPr>
      <w:rFonts w:eastAsiaTheme="majorEastAsia" w:cs="Arial"/>
      <w:b/>
      <w:bCs/>
      <w:iCs/>
      <w:sz w:val="24"/>
      <w:szCs w:val="28"/>
      <w:lang w:eastAsia="de-DE"/>
    </w:rPr>
  </w:style>
  <w:style w:type="character" w:customStyle="1" w:styleId="berschrift3Zchn">
    <w:name w:val="Überschrift 3 Zchn"/>
    <w:basedOn w:val="Absatz-Standardschriftart"/>
    <w:link w:val="berschrift3"/>
    <w:rsid w:val="00474F33"/>
    <w:rPr>
      <w:rFonts w:eastAsiaTheme="majorEastAsia" w:cs="Arial"/>
      <w:b/>
      <w:bCs/>
      <w:sz w:val="24"/>
      <w:szCs w:val="26"/>
      <w:lang w:eastAsia="de-DE"/>
    </w:rPr>
  </w:style>
  <w:style w:type="character" w:customStyle="1" w:styleId="berschrift4Zchn">
    <w:name w:val="Überschrift 4 Zchn"/>
    <w:basedOn w:val="Absatz-Standardschriftart"/>
    <w:link w:val="berschrift4"/>
    <w:rsid w:val="00474F33"/>
    <w:rPr>
      <w:rFonts w:eastAsiaTheme="majorEastAsia" w:cstheme="majorBidi"/>
      <w:b/>
      <w:bCs/>
      <w:sz w:val="24"/>
      <w:szCs w:val="28"/>
      <w:lang w:eastAsia="de-DE"/>
    </w:rPr>
  </w:style>
  <w:style w:type="character" w:customStyle="1" w:styleId="berschrift5Zchn">
    <w:name w:val="Überschrift 5 Zchn"/>
    <w:basedOn w:val="Absatz-Standardschriftart"/>
    <w:link w:val="berschrift5"/>
    <w:semiHidden/>
    <w:rsid w:val="00474F33"/>
    <w:rPr>
      <w:rFonts w:eastAsiaTheme="majorEastAsia" w:cstheme="majorBidi"/>
      <w:b/>
      <w:bCs/>
      <w:iCs/>
      <w:sz w:val="24"/>
      <w:szCs w:val="26"/>
      <w:lang w:eastAsia="de-DE"/>
    </w:rPr>
  </w:style>
  <w:style w:type="character" w:customStyle="1" w:styleId="berschrift6Zchn">
    <w:name w:val="Überschrift 6 Zchn"/>
    <w:basedOn w:val="Absatz-Standardschriftart"/>
    <w:link w:val="berschrift6"/>
    <w:semiHidden/>
    <w:rsid w:val="00474F33"/>
    <w:rPr>
      <w:rFonts w:eastAsiaTheme="majorEastAsia" w:cstheme="majorBidi"/>
      <w:b/>
      <w:bCs/>
      <w:sz w:val="24"/>
      <w:lang w:eastAsia="de-DE"/>
    </w:rPr>
  </w:style>
  <w:style w:type="character" w:customStyle="1" w:styleId="berschrift7Zchn">
    <w:name w:val="Überschrift 7 Zchn"/>
    <w:basedOn w:val="Absatz-Standardschriftart"/>
    <w:link w:val="berschrift7"/>
    <w:semiHidden/>
    <w:rsid w:val="00474F33"/>
    <w:rPr>
      <w:rFonts w:eastAsiaTheme="majorEastAsia" w:cstheme="majorBidi"/>
      <w:sz w:val="24"/>
      <w:szCs w:val="24"/>
      <w:lang w:eastAsia="de-DE"/>
    </w:rPr>
  </w:style>
  <w:style w:type="character" w:customStyle="1" w:styleId="berschrift8Zchn">
    <w:name w:val="Überschrift 8 Zchn"/>
    <w:basedOn w:val="Absatz-Standardschriftart"/>
    <w:link w:val="berschrift8"/>
    <w:semiHidden/>
    <w:rsid w:val="00474F33"/>
    <w:rPr>
      <w:rFonts w:eastAsiaTheme="majorEastAsia" w:cstheme="majorBidi"/>
      <w:iCs/>
      <w:sz w:val="24"/>
      <w:szCs w:val="24"/>
      <w:lang w:eastAsia="de-DE"/>
    </w:rPr>
  </w:style>
  <w:style w:type="character" w:customStyle="1" w:styleId="berschrift9Zchn">
    <w:name w:val="Überschrift 9 Zchn"/>
    <w:basedOn w:val="Absatz-Standardschriftart"/>
    <w:link w:val="berschrift9"/>
    <w:semiHidden/>
    <w:rsid w:val="00474F33"/>
    <w:rPr>
      <w:rFonts w:eastAsiaTheme="majorEastAsia" w:cs="Arial"/>
      <w:sz w:val="24"/>
      <w:lang w:eastAsia="de-DE"/>
    </w:rPr>
  </w:style>
  <w:style w:type="numbering" w:customStyle="1" w:styleId="BDEWGliederungnumerisch">
    <w:name w:val="BDEW Gliederung numerisch"/>
    <w:basedOn w:val="KeineListe"/>
    <w:rsid w:val="00474F33"/>
    <w:pPr>
      <w:numPr>
        <w:numId w:val="3"/>
      </w:numPr>
    </w:pPr>
  </w:style>
  <w:style w:type="paragraph" w:styleId="Listenabsatz">
    <w:name w:val="List Paragraph"/>
    <w:basedOn w:val="Standard"/>
    <w:uiPriority w:val="34"/>
    <w:qFormat/>
    <w:rsid w:val="00474F33"/>
    <w:pPr>
      <w:ind w:left="720"/>
      <w:contextualSpacing/>
    </w:pPr>
  </w:style>
  <w:style w:type="paragraph" w:customStyle="1" w:styleId="CommentText">
    <w:name w:val="Comment Text"/>
    <w:basedOn w:val="Standard"/>
    <w:semiHidden/>
    <w:rsid w:val="00474F33"/>
    <w:pPr>
      <w:spacing w:after="120" w:line="320" w:lineRule="atLeast"/>
    </w:pPr>
    <w:rPr>
      <w:rFonts w:eastAsia="Times New Roman"/>
      <w:sz w:val="20"/>
      <w:szCs w:val="20"/>
      <w:lang w:eastAsia="de-DE"/>
    </w:rPr>
  </w:style>
  <w:style w:type="character" w:customStyle="1" w:styleId="CommentReference">
    <w:name w:val="Comment Reference"/>
    <w:semiHidden/>
    <w:rsid w:val="00474F33"/>
    <w:rPr>
      <w:sz w:val="16"/>
      <w:szCs w:val="16"/>
    </w:rPr>
  </w:style>
  <w:style w:type="numbering" w:styleId="ArtikelAbschnitt">
    <w:name w:val="Outline List 3"/>
    <w:basedOn w:val="KeineListe"/>
    <w:semiHidden/>
    <w:rsid w:val="00474F33"/>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E18B7783C60D448AC8A0323B1CCF9D0" ma:contentTypeVersion="2" ma:contentTypeDescription="Ein neues Dokument erstellen." ma:contentTypeScope="" ma:versionID="2614ca1190bb4dfc3d4890fb48c2e3c2">
  <xsd:schema xmlns:xsd="http://www.w3.org/2001/XMLSchema" xmlns:xs="http://www.w3.org/2001/XMLSchema" xmlns:p="http://schemas.microsoft.com/office/2006/metadata/properties" xmlns:ns2="a712904e-b948-44b4-bf61-b386fd181adb" targetNamespace="http://schemas.microsoft.com/office/2006/metadata/properties" ma:root="true" ma:fieldsID="192a5e719dfdfb5df2b0363ab8df25a2" ns2:_="">
    <xsd:import namespace="a712904e-b948-44b4-bf61-b386fd181ad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2904e-b948-44b4-bf61-b386fd181ad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275701-98CF-42C6-BFAF-B5059ACE8E3B}">
  <ds:schemaRefs>
    <ds:schemaRef ds:uri="http://schemas.openxmlformats.org/officeDocument/2006/bibliography"/>
  </ds:schemaRefs>
</ds:datastoreItem>
</file>

<file path=customXml/itemProps2.xml><?xml version="1.0" encoding="utf-8"?>
<ds:datastoreItem xmlns:ds="http://schemas.openxmlformats.org/officeDocument/2006/customXml" ds:itemID="{818F9710-6196-48FF-852C-DFA316AF3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2904e-b948-44b4-bf61-b386fd181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70D90-F120-4BDE-85F4-E3F1C52E64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3EDB1C-05A2-4F03-AC25-EB882F0436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2353</Words>
  <Characters>14825</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BK6c</dc:creator>
  <cp:lastModifiedBy>Zonneveld, René</cp:lastModifiedBy>
  <cp:revision>4</cp:revision>
  <dcterms:created xsi:type="dcterms:W3CDTF">2026-08-21T13:05:00Z</dcterms:created>
  <dcterms:modified xsi:type="dcterms:W3CDTF">2026-08-21T13:10:00Z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0x0101001E18B7783C60D448AC8A0323B1CCF9D0</vt:lpwstr>
  </property>
  <property fmtid="{D5CDD505-2E9C-101B-9397-08002B2CF9AE}" pid="3" name="_AdHocReviewCycleID">
    <vt:i4>-1781768629</vt:i4>
  </property>
  <property fmtid="{D5CDD505-2E9C-101B-9397-08002B2CF9AE}" pid="4" name="_NewReviewCycle">
    <vt:lpwstr/>
  </property>
  <property fmtid="{D5CDD505-2E9C-101B-9397-08002B2CF9AE}" pid="5" name="_EmailSubject">
    <vt:lpwstr>BDEW-Stellungnahme im Rahmen des Festlegungsverfahren zur Änderung des Konvertierungssystems in qualitätsübergreifenden Gasmarktgebieten („KONNI 2.1“) BK7-26-01-006</vt:lpwstr>
  </property>
  <property fmtid="{D5CDD505-2E9C-101B-9397-08002B2CF9AE}" pid="6" name="_AuthorEmail">
    <vt:lpwstr>Rene.Zonneveld@bdew.de</vt:lpwstr>
  </property>
  <property fmtid="{D5CDD505-2E9C-101B-9397-08002B2CF9AE}" pid="7" name="_AuthorEmailDisplayName">
    <vt:lpwstr>Zonneveld, René</vt:lpwstr>
  </property>
  <property fmtid="{D5CDD505-2E9C-101B-9397-08002B2CF9AE}" pid="8" name="_PreviousAdHocReviewCycleID">
    <vt:i4>1569242872</vt:i4>
  </property>
</Properties>
</file>