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46AE8" w14:textId="77777777" w:rsidR="003A535C" w:rsidRDefault="003A535C" w:rsidP="002A3DC1">
      <w:pPr>
        <w:jc w:val="center"/>
        <w:rPr>
          <w:b/>
          <w:sz w:val="28"/>
          <w:szCs w:val="28"/>
        </w:rPr>
      </w:pPr>
      <w:r w:rsidRPr="00846253">
        <w:rPr>
          <w:b/>
          <w:sz w:val="28"/>
          <w:szCs w:val="28"/>
        </w:rPr>
        <w:t>Formblatt für Stellungnahmen</w:t>
      </w:r>
    </w:p>
    <w:p w14:paraId="6F6E42A8" w14:textId="491A46AE" w:rsidR="0097280C" w:rsidRPr="00AF72D5" w:rsidRDefault="00550433" w:rsidP="00207B53">
      <w:pPr>
        <w:pBdr>
          <w:bottom w:val="single" w:sz="4" w:space="11" w:color="auto"/>
        </w:pBdr>
        <w:spacing w:before="120" w:line="271" w:lineRule="auto"/>
        <w:ind w:right="-57"/>
        <w:jc w:val="center"/>
        <w:rPr>
          <w:b/>
        </w:rPr>
      </w:pPr>
      <w:r>
        <w:rPr>
          <w:b/>
        </w:rPr>
        <w:t xml:space="preserve">für die </w:t>
      </w:r>
      <w:r w:rsidR="00AF72D5">
        <w:rPr>
          <w:b/>
        </w:rPr>
        <w:t>1</w:t>
      </w:r>
      <w:r>
        <w:rPr>
          <w:b/>
        </w:rPr>
        <w:t xml:space="preserve">. Konsultation </w:t>
      </w:r>
      <w:r w:rsidR="00207B53">
        <w:rPr>
          <w:b/>
        </w:rPr>
        <w:t>i</w:t>
      </w:r>
      <w:r w:rsidR="00606519">
        <w:rPr>
          <w:b/>
        </w:rPr>
        <w:t>n de</w:t>
      </w:r>
      <w:r w:rsidR="00AF72D5">
        <w:rPr>
          <w:b/>
        </w:rPr>
        <w:t>n</w:t>
      </w:r>
      <w:r w:rsidR="00562845" w:rsidRPr="0054245A">
        <w:rPr>
          <w:b/>
        </w:rPr>
        <w:t xml:space="preserve"> </w:t>
      </w:r>
      <w:r w:rsidR="002A3DC1">
        <w:rPr>
          <w:b/>
        </w:rPr>
        <w:t>Festlegungsverfahren</w:t>
      </w:r>
      <w:r w:rsidR="00562845" w:rsidRPr="0054245A">
        <w:rPr>
          <w:b/>
        </w:rPr>
        <w:t xml:space="preserve"> </w:t>
      </w:r>
      <w:r w:rsidR="0097280C">
        <w:rPr>
          <w:b/>
        </w:rPr>
        <w:t>der Beschlusskammern</w:t>
      </w:r>
      <w:r w:rsidR="002A3DC1">
        <w:rPr>
          <w:b/>
        </w:rPr>
        <w:t xml:space="preserve"> 7</w:t>
      </w:r>
      <w:r w:rsidR="004F006B">
        <w:rPr>
          <w:b/>
        </w:rPr>
        <w:t xml:space="preserve"> </w:t>
      </w:r>
      <w:r w:rsidR="000A1389" w:rsidRPr="000A1389">
        <w:rPr>
          <w:b/>
        </w:rPr>
        <w:t>zur Änderung des Konvertierungssystems in qualitätsübergreifenden Gasmarktgebieten (KONNI 2.1)</w:t>
      </w:r>
    </w:p>
    <w:p w14:paraId="26ECBD01" w14:textId="5F57728B" w:rsidR="002A3DC1" w:rsidRPr="00AF72D5" w:rsidRDefault="003E0665" w:rsidP="00207B53">
      <w:pPr>
        <w:pBdr>
          <w:bottom w:val="single" w:sz="4" w:space="11" w:color="auto"/>
        </w:pBdr>
        <w:spacing w:before="120" w:line="271" w:lineRule="auto"/>
        <w:ind w:right="-57"/>
        <w:jc w:val="center"/>
        <w:rPr>
          <w:b/>
          <w:bCs/>
        </w:rPr>
      </w:pPr>
      <w:r w:rsidRPr="004D5363">
        <w:rPr>
          <w:b/>
          <w:bCs/>
        </w:rPr>
        <w:t>(</w:t>
      </w:r>
      <w:proofErr w:type="spellStart"/>
      <w:r w:rsidRPr="004D5363">
        <w:rPr>
          <w:b/>
          <w:bCs/>
        </w:rPr>
        <w:t>Az</w:t>
      </w:r>
      <w:proofErr w:type="spellEnd"/>
      <w:r w:rsidRPr="004D5363">
        <w:rPr>
          <w:b/>
          <w:bCs/>
        </w:rPr>
        <w:t xml:space="preserve">: </w:t>
      </w:r>
      <w:r w:rsidR="00AF72D5" w:rsidRPr="004D5363">
        <w:rPr>
          <w:b/>
          <w:bCs/>
        </w:rPr>
        <w:t>BK7-2</w:t>
      </w:r>
      <w:r w:rsidR="000A1389">
        <w:rPr>
          <w:b/>
          <w:bCs/>
        </w:rPr>
        <w:t>6</w:t>
      </w:r>
      <w:r w:rsidR="00AF72D5" w:rsidRPr="004D5363">
        <w:rPr>
          <w:b/>
          <w:bCs/>
        </w:rPr>
        <w:t>-01-</w:t>
      </w:r>
      <w:r w:rsidR="00194BEB">
        <w:rPr>
          <w:b/>
          <w:bCs/>
        </w:rPr>
        <w:t>00</w:t>
      </w:r>
      <w:r w:rsidR="000A1389">
        <w:rPr>
          <w:b/>
          <w:bCs/>
        </w:rPr>
        <w:t>6</w:t>
      </w:r>
      <w:r w:rsidR="002A3DC1" w:rsidRPr="004D5363">
        <w:rPr>
          <w:b/>
          <w:bCs/>
        </w:rPr>
        <w:t>)</w:t>
      </w:r>
    </w:p>
    <w:p w14:paraId="01884589" w14:textId="0D836C95" w:rsidR="003E5199" w:rsidRPr="007B7E76" w:rsidRDefault="004978BC" w:rsidP="007B7E76">
      <w:r>
        <w:br/>
      </w:r>
      <w:r w:rsidR="00562845" w:rsidRPr="003E5199">
        <w:rPr>
          <w:b/>
          <w:u w:val="single"/>
        </w:rPr>
        <w:t>Unternehmensname</w:t>
      </w:r>
      <w:r w:rsidR="003E5199" w:rsidRPr="003E5199">
        <w:rPr>
          <w:b/>
          <w:u w:val="single"/>
        </w:rPr>
        <w:t>:</w:t>
      </w:r>
      <w:r w:rsidR="003E5199">
        <w:rPr>
          <w:b/>
          <w:u w:val="single"/>
        </w:rPr>
        <w:tab/>
      </w:r>
      <w:r w:rsidR="00CB0AFF">
        <w:rPr>
          <w:b/>
          <w:u w:val="single"/>
        </w:rPr>
        <w:t xml:space="preserve">Equinor Deutschland GmbH </w:t>
      </w:r>
      <w:r w:rsidR="003E5199">
        <w:rPr>
          <w:b/>
          <w:u w:val="single"/>
        </w:rPr>
        <w:tab/>
      </w:r>
      <w:r w:rsidR="003E5199">
        <w:rPr>
          <w:b/>
          <w:u w:val="single"/>
        </w:rPr>
        <w:tab/>
      </w:r>
      <w:r w:rsidR="003E5199">
        <w:rPr>
          <w:b/>
          <w:u w:val="single"/>
        </w:rPr>
        <w:tab/>
      </w:r>
      <w:r w:rsidR="003E5199">
        <w:rPr>
          <w:b/>
          <w:u w:val="single"/>
        </w:rPr>
        <w:tab/>
      </w:r>
      <w:r w:rsidR="003E5199">
        <w:rPr>
          <w:b/>
          <w:u w:val="single"/>
        </w:rPr>
        <w:tab/>
      </w:r>
      <w:r w:rsidR="003E5199" w:rsidRPr="003E5199">
        <w:rPr>
          <w:b/>
          <w:u w:val="single"/>
        </w:rPr>
        <w:t xml:space="preserve"> </w:t>
      </w:r>
    </w:p>
    <w:p w14:paraId="02D09204" w14:textId="37C38E94" w:rsidR="003E5199" w:rsidRPr="003E5199" w:rsidRDefault="003E5199" w:rsidP="0054245A">
      <w:pPr>
        <w:pBdr>
          <w:bottom w:val="single" w:sz="4" w:space="1" w:color="auto"/>
        </w:pBdr>
        <w:rPr>
          <w:u w:val="single"/>
        </w:rPr>
      </w:pPr>
      <w:r w:rsidRPr="003E5199">
        <w:rPr>
          <w:b/>
          <w:u w:val="single"/>
        </w:rPr>
        <w:t>Name des Stellungnehmenden:</w:t>
      </w:r>
      <w:r>
        <w:rPr>
          <w:u w:val="single"/>
        </w:rPr>
        <w:tab/>
      </w:r>
      <w:r w:rsidR="00CB0AFF">
        <w:rPr>
          <w:u w:val="single"/>
        </w:rPr>
        <w:t xml:space="preserve">Katharina Stecker </w:t>
      </w:r>
      <w:r>
        <w:rPr>
          <w:u w:val="single"/>
        </w:rPr>
        <w:tab/>
      </w:r>
      <w:r>
        <w:rPr>
          <w:u w:val="single"/>
        </w:rPr>
        <w:tab/>
      </w:r>
      <w:r>
        <w:rPr>
          <w:u w:val="single"/>
        </w:rPr>
        <w:tab/>
      </w:r>
    </w:p>
    <w:p w14:paraId="1CEFBD26" w14:textId="41AD5D75" w:rsidR="00562845" w:rsidRDefault="003E5199" w:rsidP="0054245A">
      <w:pPr>
        <w:pBdr>
          <w:bottom w:val="single" w:sz="4" w:space="1" w:color="auto"/>
        </w:pBdr>
        <w:rPr>
          <w:b/>
          <w:u w:val="single"/>
        </w:rPr>
      </w:pPr>
      <w:r w:rsidRPr="003E5199">
        <w:rPr>
          <w:b/>
          <w:u w:val="single"/>
        </w:rPr>
        <w:t>Datum der Stellungnahme:</w:t>
      </w:r>
      <w:r>
        <w:rPr>
          <w:b/>
          <w:u w:val="single"/>
        </w:rPr>
        <w:tab/>
      </w:r>
      <w:r>
        <w:rPr>
          <w:b/>
          <w:u w:val="single"/>
        </w:rPr>
        <w:tab/>
      </w:r>
      <w:r w:rsidR="00CB0AFF">
        <w:rPr>
          <w:b/>
          <w:u w:val="single"/>
        </w:rPr>
        <w:t>20.08.2026</w:t>
      </w:r>
      <w:r>
        <w:rPr>
          <w:b/>
          <w:u w:val="single"/>
        </w:rPr>
        <w:tab/>
      </w:r>
      <w:r>
        <w:rPr>
          <w:b/>
          <w:u w:val="single"/>
        </w:rPr>
        <w:tab/>
      </w:r>
      <w:r>
        <w:rPr>
          <w:b/>
          <w:u w:val="single"/>
        </w:rPr>
        <w:tab/>
      </w:r>
    </w:p>
    <w:p w14:paraId="240EC7FA" w14:textId="77777777" w:rsidR="00C812FB" w:rsidRDefault="00C812FB" w:rsidP="0054245A">
      <w:pPr>
        <w:pBdr>
          <w:bottom w:val="single" w:sz="4" w:space="1" w:color="auto"/>
        </w:pBdr>
        <w:rPr>
          <w:b/>
          <w:u w:val="single"/>
        </w:rPr>
      </w:pPr>
    </w:p>
    <w:tbl>
      <w:tblPr>
        <w:tblStyle w:val="TableGrid"/>
        <w:tblW w:w="0" w:type="auto"/>
        <w:tblLook w:val="04A0" w:firstRow="1" w:lastRow="0" w:firstColumn="1" w:lastColumn="0" w:noHBand="0" w:noVBand="1"/>
      </w:tblPr>
      <w:tblGrid>
        <w:gridCol w:w="11052"/>
        <w:gridCol w:w="1984"/>
        <w:gridCol w:w="2352"/>
      </w:tblGrid>
      <w:tr w:rsidR="007B7E76" w:rsidRPr="006042A4" w14:paraId="3CFD71CB" w14:textId="77777777" w:rsidTr="007B7E76">
        <w:trPr>
          <w:tblHeader/>
        </w:trPr>
        <w:tc>
          <w:tcPr>
            <w:tcW w:w="11052" w:type="dxa"/>
          </w:tcPr>
          <w:p w14:paraId="4429DFF1" w14:textId="396B3B59" w:rsidR="007B7E76" w:rsidRPr="007B7E76" w:rsidRDefault="007B7E76" w:rsidP="007B7E76">
            <w:r>
              <w:t>Eine geschwärzte Fassung der Stellungnahme</w:t>
            </w:r>
            <w:r w:rsidRPr="006042A4">
              <w:rPr>
                <w:b/>
              </w:rPr>
              <w:t xml:space="preserve"> </w:t>
            </w:r>
          </w:p>
        </w:tc>
        <w:tc>
          <w:tcPr>
            <w:tcW w:w="1984" w:type="dxa"/>
          </w:tcPr>
          <w:p w14:paraId="1581027C" w14:textId="2891EACB" w:rsidR="007B7E76" w:rsidRPr="00C812FB" w:rsidRDefault="007B7E76" w:rsidP="007B7E76">
            <w:pPr>
              <w:jc w:val="center"/>
              <w:rPr>
                <w:b/>
              </w:rPr>
            </w:pPr>
            <w:r w:rsidRPr="00C812FB">
              <w:rPr>
                <w:b/>
              </w:rPr>
              <w:t>lege ich bei</w:t>
            </w:r>
          </w:p>
        </w:tc>
        <w:tc>
          <w:tcPr>
            <w:tcW w:w="2352" w:type="dxa"/>
          </w:tcPr>
          <w:p w14:paraId="11491D80" w14:textId="59CAC649" w:rsidR="007B7E76" w:rsidRPr="00C812FB" w:rsidRDefault="007B7E76" w:rsidP="007B7E76">
            <w:pPr>
              <w:jc w:val="center"/>
              <w:rPr>
                <w:b/>
              </w:rPr>
            </w:pPr>
            <w:r w:rsidRPr="00C812FB">
              <w:rPr>
                <w:b/>
              </w:rPr>
              <w:t>ist nicht erforderlich</w:t>
            </w:r>
          </w:p>
        </w:tc>
      </w:tr>
      <w:tr w:rsidR="007B7E76" w14:paraId="08AFC962" w14:textId="77777777" w:rsidTr="007B7E76">
        <w:tc>
          <w:tcPr>
            <w:tcW w:w="11052" w:type="dxa"/>
          </w:tcPr>
          <w:p w14:paraId="62035EB9" w14:textId="1A51F9DA" w:rsidR="007B7E76" w:rsidRPr="00962490" w:rsidRDefault="007B7E76" w:rsidP="007B7E76">
            <w:pPr>
              <w:jc w:val="right"/>
              <w:rPr>
                <w:i/>
              </w:rPr>
            </w:pPr>
            <w:r w:rsidRPr="00962490">
              <w:rPr>
                <w:i/>
              </w:rPr>
              <w:t>Zutreffendes bitte kennzeichnen.</w:t>
            </w:r>
          </w:p>
        </w:tc>
        <w:tc>
          <w:tcPr>
            <w:tcW w:w="1984" w:type="dxa"/>
          </w:tcPr>
          <w:p w14:paraId="3655C137" w14:textId="77777777" w:rsidR="007B7E76" w:rsidRDefault="007B7E76" w:rsidP="007B7E76"/>
        </w:tc>
        <w:tc>
          <w:tcPr>
            <w:tcW w:w="2352" w:type="dxa"/>
          </w:tcPr>
          <w:p w14:paraId="12E224F0" w14:textId="32E71FBB" w:rsidR="007B7E76" w:rsidRDefault="00CB0AFF" w:rsidP="007B7E76">
            <w:r>
              <w:t>x</w:t>
            </w:r>
          </w:p>
        </w:tc>
      </w:tr>
    </w:tbl>
    <w:p w14:paraId="0AC0C9CD" w14:textId="270FAA1D" w:rsidR="00A463AE" w:rsidRDefault="00A463AE">
      <w:pPr>
        <w:rPr>
          <w:b/>
        </w:rPr>
      </w:pPr>
    </w:p>
    <w:p w14:paraId="1EFDDDF9" w14:textId="77777777" w:rsidR="001712E2" w:rsidRDefault="001712E2">
      <w:pPr>
        <w:rPr>
          <w:b/>
        </w:rPr>
      </w:pPr>
    </w:p>
    <w:p w14:paraId="20F8ABF0" w14:textId="77777777" w:rsidR="00C812FB" w:rsidRPr="006042A4" w:rsidRDefault="00C812FB">
      <w:pPr>
        <w:rPr>
          <w:b/>
        </w:rPr>
      </w:pPr>
    </w:p>
    <w:tbl>
      <w:tblPr>
        <w:tblStyle w:val="TableGrid"/>
        <w:tblW w:w="0" w:type="auto"/>
        <w:tblLook w:val="04A0" w:firstRow="1" w:lastRow="0" w:firstColumn="1" w:lastColumn="0" w:noHBand="0" w:noVBand="1"/>
      </w:tblPr>
      <w:tblGrid>
        <w:gridCol w:w="4240"/>
        <w:gridCol w:w="11148"/>
      </w:tblGrid>
      <w:tr w:rsidR="003936B4" w:rsidRPr="006042A4" w14:paraId="124B9C86" w14:textId="16E31DD1" w:rsidTr="00D25396">
        <w:trPr>
          <w:trHeight w:val="547"/>
          <w:tblHeader/>
        </w:trPr>
        <w:tc>
          <w:tcPr>
            <w:tcW w:w="4240" w:type="dxa"/>
          </w:tcPr>
          <w:p w14:paraId="3CD1B263" w14:textId="1A2D60EF" w:rsidR="003936B4" w:rsidRDefault="003936B4" w:rsidP="006042A4">
            <w:pPr>
              <w:rPr>
                <w:b/>
              </w:rPr>
            </w:pPr>
            <w:r>
              <w:rPr>
                <w:b/>
              </w:rPr>
              <w:t xml:space="preserve">Bezugnehmende </w:t>
            </w:r>
            <w:r w:rsidR="000A1389">
              <w:rPr>
                <w:b/>
              </w:rPr>
              <w:t>Tenorziffer</w:t>
            </w:r>
            <w:r w:rsidR="001F4C13">
              <w:rPr>
                <w:b/>
              </w:rPr>
              <w:t xml:space="preserve"> bzw. sonstige Anmerkungen</w:t>
            </w:r>
          </w:p>
          <w:p w14:paraId="5D0204E9" w14:textId="67CE652B" w:rsidR="003936B4" w:rsidRPr="006042A4" w:rsidRDefault="003936B4" w:rsidP="006042A4">
            <w:pPr>
              <w:rPr>
                <w:b/>
              </w:rPr>
            </w:pPr>
          </w:p>
        </w:tc>
        <w:tc>
          <w:tcPr>
            <w:tcW w:w="11148" w:type="dxa"/>
          </w:tcPr>
          <w:p w14:paraId="21FB9B71" w14:textId="588B1267" w:rsidR="003936B4" w:rsidRPr="006042A4" w:rsidRDefault="003936B4">
            <w:pPr>
              <w:rPr>
                <w:b/>
              </w:rPr>
            </w:pPr>
            <w:r>
              <w:rPr>
                <w:b/>
              </w:rPr>
              <w:t>Stellungnahme einfügen</w:t>
            </w:r>
          </w:p>
        </w:tc>
      </w:tr>
      <w:tr w:rsidR="003936B4" w14:paraId="7551EC4B" w14:textId="77777777" w:rsidTr="005F5560">
        <w:tc>
          <w:tcPr>
            <w:tcW w:w="4240" w:type="dxa"/>
          </w:tcPr>
          <w:p w14:paraId="795C8EB4" w14:textId="6A0C160D" w:rsidR="003936B4" w:rsidRPr="00CB0AFF" w:rsidRDefault="00CB0AFF" w:rsidP="00CB0AFF">
            <w:pPr>
              <w:pStyle w:val="ListParagraph"/>
              <w:numPr>
                <w:ilvl w:val="0"/>
                <w:numId w:val="2"/>
              </w:numPr>
              <w:spacing w:line="360" w:lineRule="auto"/>
              <w:rPr>
                <w:rFonts w:ascii="Arial" w:hAnsi="Arial" w:cs="Arial"/>
                <w:b/>
                <w:color w:val="000000" w:themeColor="text1"/>
                <w:lang w:val="de-DE"/>
              </w:rPr>
            </w:pPr>
            <w:r w:rsidRPr="007C3B45">
              <w:rPr>
                <w:rFonts w:ascii="Arial" w:hAnsi="Arial" w:cs="Arial"/>
                <w:b/>
                <w:color w:val="000000" w:themeColor="text1"/>
                <w:lang w:val="de-DE"/>
              </w:rPr>
              <w:t>Allgemein</w:t>
            </w:r>
          </w:p>
        </w:tc>
        <w:tc>
          <w:tcPr>
            <w:tcW w:w="11148" w:type="dxa"/>
          </w:tcPr>
          <w:p w14:paraId="432C6B71" w14:textId="77777777" w:rsidR="00CB0AFF" w:rsidRDefault="00CB0AFF" w:rsidP="00CB0AFF">
            <w:pPr>
              <w:spacing w:line="360" w:lineRule="auto"/>
              <w:ind w:left="113"/>
              <w:rPr>
                <w:rFonts w:ascii="Arial" w:hAnsi="Arial" w:cs="Arial"/>
                <w:color w:val="000000" w:themeColor="text1"/>
              </w:rPr>
            </w:pPr>
            <w:r w:rsidRPr="00D621EA">
              <w:rPr>
                <w:rFonts w:ascii="Arial" w:hAnsi="Arial" w:cs="Arial"/>
                <w:color w:val="000000" w:themeColor="text1"/>
              </w:rPr>
              <w:t xml:space="preserve">Equinor begrüßt den von </w:t>
            </w:r>
            <w:r>
              <w:rPr>
                <w:rFonts w:ascii="Arial" w:hAnsi="Arial" w:cs="Arial"/>
                <w:color w:val="000000" w:themeColor="text1"/>
              </w:rPr>
              <w:t>der Bundesnetzagentur konsultierten Änderungsvorschlag zum Konvertierungssystem in qualitätsübergreifenden Gasmarktgebieten</w:t>
            </w:r>
            <w:r w:rsidRPr="00D621EA">
              <w:rPr>
                <w:rFonts w:ascii="Arial" w:hAnsi="Arial" w:cs="Arial"/>
                <w:color w:val="000000" w:themeColor="text1"/>
              </w:rPr>
              <w:t xml:space="preserve"> (</w:t>
            </w:r>
            <w:r>
              <w:rPr>
                <w:rFonts w:ascii="Arial" w:hAnsi="Arial" w:cs="Arial"/>
                <w:color w:val="000000" w:themeColor="text1"/>
              </w:rPr>
              <w:t>KONNI 2.1</w:t>
            </w:r>
            <w:r w:rsidRPr="00D621EA">
              <w:rPr>
                <w:rFonts w:ascii="Arial" w:hAnsi="Arial" w:cs="Arial"/>
                <w:color w:val="000000" w:themeColor="text1"/>
              </w:rPr>
              <w:t xml:space="preserve">) und bedankt sich für die Möglichkeit </w:t>
            </w:r>
            <w:r>
              <w:rPr>
                <w:rFonts w:ascii="Arial" w:hAnsi="Arial" w:cs="Arial"/>
                <w:color w:val="000000" w:themeColor="text1"/>
              </w:rPr>
              <w:t>zur</w:t>
            </w:r>
            <w:r w:rsidRPr="00D621EA">
              <w:rPr>
                <w:rFonts w:ascii="Arial" w:hAnsi="Arial" w:cs="Arial"/>
                <w:color w:val="000000" w:themeColor="text1"/>
              </w:rPr>
              <w:t xml:space="preserve"> Stellungnahme</w:t>
            </w:r>
            <w:r>
              <w:rPr>
                <w:rFonts w:ascii="Arial" w:hAnsi="Arial" w:cs="Arial"/>
                <w:color w:val="000000" w:themeColor="text1"/>
              </w:rPr>
              <w:t xml:space="preserve">. </w:t>
            </w:r>
          </w:p>
          <w:p w14:paraId="6EDB7CDC" w14:textId="47B7AF69" w:rsidR="003936B4" w:rsidRPr="00CB0AFF" w:rsidRDefault="00CB0AFF" w:rsidP="00CB0AFF">
            <w:pPr>
              <w:spacing w:line="360" w:lineRule="auto"/>
              <w:ind w:left="113"/>
              <w:rPr>
                <w:rFonts w:ascii="Arial" w:hAnsi="Arial" w:cs="Arial"/>
                <w:color w:val="000000" w:themeColor="text1"/>
              </w:rPr>
            </w:pPr>
            <w:r>
              <w:rPr>
                <w:rFonts w:ascii="Arial" w:hAnsi="Arial" w:cs="Arial"/>
                <w:color w:val="000000" w:themeColor="text1"/>
              </w:rPr>
              <w:t xml:space="preserve">Zu einzelnen Punkten der o.g. Konsultationsunterlagen nimmt </w:t>
            </w:r>
            <w:r w:rsidRPr="00C961C7">
              <w:rPr>
                <w:rFonts w:ascii="Arial" w:hAnsi="Arial" w:cs="Arial"/>
                <w:color w:val="000000" w:themeColor="text1"/>
              </w:rPr>
              <w:t xml:space="preserve">Equinor </w:t>
            </w:r>
            <w:r>
              <w:rPr>
                <w:rFonts w:ascii="Arial" w:hAnsi="Arial" w:cs="Arial"/>
                <w:color w:val="000000" w:themeColor="text1"/>
              </w:rPr>
              <w:t xml:space="preserve">Deutschland wie folgt </w:t>
            </w:r>
            <w:r w:rsidRPr="00C961C7">
              <w:rPr>
                <w:rFonts w:ascii="Arial" w:hAnsi="Arial" w:cs="Arial"/>
                <w:color w:val="000000" w:themeColor="text1"/>
              </w:rPr>
              <w:t>Stellung:</w:t>
            </w:r>
          </w:p>
        </w:tc>
      </w:tr>
      <w:tr w:rsidR="003936B4" w14:paraId="3DF75207" w14:textId="77777777" w:rsidTr="005F5560">
        <w:tc>
          <w:tcPr>
            <w:tcW w:w="4240" w:type="dxa"/>
          </w:tcPr>
          <w:p w14:paraId="6FDDF981" w14:textId="02C6A99E" w:rsidR="003936B4" w:rsidRPr="00CB0AFF" w:rsidRDefault="00CB0AFF" w:rsidP="00CB0AFF">
            <w:pPr>
              <w:pStyle w:val="ListParagraph"/>
              <w:numPr>
                <w:ilvl w:val="0"/>
                <w:numId w:val="2"/>
              </w:numPr>
              <w:spacing w:line="360" w:lineRule="auto"/>
              <w:rPr>
                <w:rFonts w:ascii="Arial" w:hAnsi="Arial" w:cs="Arial"/>
                <w:b/>
                <w:bCs/>
                <w:color w:val="000000" w:themeColor="text1"/>
                <w:lang w:val="de-DE"/>
              </w:rPr>
            </w:pPr>
            <w:r w:rsidRPr="00291A4C">
              <w:rPr>
                <w:rFonts w:ascii="Arial" w:hAnsi="Arial" w:cs="Arial"/>
                <w:b/>
                <w:bCs/>
                <w:color w:val="000000" w:themeColor="text1"/>
                <w:lang w:val="de-DE"/>
              </w:rPr>
              <w:t>Notwendigkeit der Anpassung des Konvertierungssystems </w:t>
            </w:r>
          </w:p>
        </w:tc>
        <w:tc>
          <w:tcPr>
            <w:tcW w:w="11148" w:type="dxa"/>
          </w:tcPr>
          <w:p w14:paraId="0D091AF9" w14:textId="77777777" w:rsidR="00CB0AFF" w:rsidRPr="00291A4C" w:rsidRDefault="00CB0AFF" w:rsidP="00CB0AFF">
            <w:pPr>
              <w:spacing w:line="360" w:lineRule="auto"/>
              <w:ind w:left="113"/>
              <w:rPr>
                <w:rFonts w:ascii="Arial" w:hAnsi="Arial" w:cs="Arial"/>
                <w:color w:val="000000" w:themeColor="text1"/>
              </w:rPr>
            </w:pPr>
            <w:r w:rsidRPr="00291A4C">
              <w:rPr>
                <w:rFonts w:ascii="Arial" w:hAnsi="Arial" w:cs="Arial"/>
                <w:color w:val="000000" w:themeColor="text1"/>
              </w:rPr>
              <w:t>Aus Sicht von Equinor sollte die Diskussion zu einer möglichen Anpassung der KONNI-Festlegung nicht auf die Wiedereinführung eines Konvertierungsentgelts fokussiert werden, sondern auf die Frage, wie der Über</w:t>
            </w:r>
            <w:r w:rsidRPr="00291A4C">
              <w:rPr>
                <w:rFonts w:ascii="Arial" w:hAnsi="Arial" w:cs="Arial"/>
                <w:color w:val="000000" w:themeColor="text1"/>
              </w:rPr>
              <w:lastRenderedPageBreak/>
              <w:t>gang zu einem Marktgebiet mit nur einer Gasqualität vollzogen werden kann. Vorzugsweise sollte schnellstmöglich eine einzige deutsche Marktzone mit einem einheitlichen Marktpreis und der damit einher</w:t>
            </w:r>
            <w:r>
              <w:rPr>
                <w:rFonts w:ascii="Arial" w:hAnsi="Arial" w:cs="Arial"/>
                <w:color w:val="000000" w:themeColor="text1"/>
              </w:rPr>
              <w:t>-</w:t>
            </w:r>
            <w:r w:rsidRPr="00291A4C">
              <w:rPr>
                <w:rFonts w:ascii="Arial" w:hAnsi="Arial" w:cs="Arial"/>
                <w:color w:val="000000" w:themeColor="text1"/>
              </w:rPr>
              <w:t>gehenden Aufgabe der bilanziellen Trennung zwischen H- und L-Gas geschaffen werden. In den Niederlanden wird ein vergleichbares Modell bereits praktiziert. </w:t>
            </w:r>
          </w:p>
          <w:p w14:paraId="315C6C6B" w14:textId="77777777" w:rsidR="00CB0AFF" w:rsidRPr="00291A4C" w:rsidRDefault="00CB0AFF" w:rsidP="00CB0AFF">
            <w:pPr>
              <w:spacing w:line="360" w:lineRule="auto"/>
              <w:ind w:left="113"/>
              <w:rPr>
                <w:rFonts w:ascii="Arial" w:hAnsi="Arial" w:cs="Arial"/>
                <w:color w:val="000000" w:themeColor="text1"/>
              </w:rPr>
            </w:pPr>
            <w:r w:rsidRPr="12632E0F">
              <w:rPr>
                <w:rFonts w:ascii="Arial" w:hAnsi="Arial" w:cs="Arial"/>
                <w:color w:val="000000" w:themeColor="text1"/>
              </w:rPr>
              <w:t>Vor diesem Hintergrund schlagen wir weiterhin vor, zum nächstmöglichen Zeitpunkt, die bilanzielle Trennung zwischen H- und L-Gas aufzugeben. Sollte die Beschlusskammer dennoch an einer Wiedereinführung des Konvertierungsentgelts festhalten, gelten die nachfolgenden Anmerkungen.  </w:t>
            </w:r>
          </w:p>
          <w:p w14:paraId="31B9BF94" w14:textId="77777777" w:rsidR="003936B4" w:rsidRDefault="003936B4"/>
        </w:tc>
      </w:tr>
      <w:tr w:rsidR="003936B4" w14:paraId="7F618439" w14:textId="77777777" w:rsidTr="005F5560">
        <w:tc>
          <w:tcPr>
            <w:tcW w:w="4240" w:type="dxa"/>
          </w:tcPr>
          <w:p w14:paraId="2303DDF2" w14:textId="32D8CB4A" w:rsidR="003936B4" w:rsidRPr="00CB0AFF" w:rsidRDefault="00CB0AFF" w:rsidP="00CB0AFF">
            <w:pPr>
              <w:pStyle w:val="ListParagraph"/>
              <w:numPr>
                <w:ilvl w:val="0"/>
                <w:numId w:val="2"/>
              </w:numPr>
              <w:spacing w:line="360" w:lineRule="auto"/>
              <w:rPr>
                <w:rFonts w:ascii="Arial" w:hAnsi="Arial" w:cs="Arial"/>
                <w:b/>
                <w:bCs/>
                <w:color w:val="000000" w:themeColor="text1"/>
                <w:lang w:val="de-DE"/>
              </w:rPr>
            </w:pPr>
            <w:r w:rsidRPr="00291A4C">
              <w:rPr>
                <w:rFonts w:ascii="Arial" w:hAnsi="Arial" w:cs="Arial"/>
                <w:b/>
                <w:bCs/>
                <w:color w:val="000000" w:themeColor="text1"/>
                <w:lang w:val="de-DE"/>
              </w:rPr>
              <w:lastRenderedPageBreak/>
              <w:t>Einführung eines Konvertierungsentgelts L- nach H-Gas </w:t>
            </w:r>
          </w:p>
        </w:tc>
        <w:tc>
          <w:tcPr>
            <w:tcW w:w="11148" w:type="dxa"/>
          </w:tcPr>
          <w:p w14:paraId="5A03DFAB" w14:textId="77777777" w:rsidR="00CB0AFF" w:rsidRPr="00291A4C" w:rsidRDefault="00CB0AFF" w:rsidP="00CB0AFF">
            <w:pPr>
              <w:spacing w:line="360" w:lineRule="auto"/>
              <w:ind w:left="113"/>
              <w:rPr>
                <w:rFonts w:ascii="Arial" w:hAnsi="Arial" w:cs="Arial"/>
                <w:color w:val="000000" w:themeColor="text1"/>
              </w:rPr>
            </w:pPr>
            <w:r w:rsidRPr="00291A4C">
              <w:rPr>
                <w:rFonts w:ascii="Arial" w:hAnsi="Arial" w:cs="Arial"/>
                <w:color w:val="000000" w:themeColor="text1"/>
              </w:rPr>
              <w:t>Die Beschlusskammer begründet die mögliche Wiedereinführung eines Konvertierungs</w:t>
            </w:r>
            <w:r>
              <w:rPr>
                <w:rFonts w:ascii="Arial" w:hAnsi="Arial" w:cs="Arial"/>
                <w:color w:val="000000" w:themeColor="text1"/>
              </w:rPr>
              <w:t>-</w:t>
            </w:r>
            <w:r w:rsidRPr="00291A4C">
              <w:rPr>
                <w:rFonts w:ascii="Arial" w:hAnsi="Arial" w:cs="Arial"/>
                <w:color w:val="000000" w:themeColor="text1"/>
              </w:rPr>
              <w:t>entgelts insbesondere mit den hohen Konvertierungs- und Regelenergie</w:t>
            </w:r>
            <w:r>
              <w:rPr>
                <w:rFonts w:ascii="Arial" w:hAnsi="Arial" w:cs="Arial"/>
                <w:color w:val="000000" w:themeColor="text1"/>
              </w:rPr>
              <w:t>-</w:t>
            </w:r>
            <w:r w:rsidRPr="00291A4C">
              <w:rPr>
                <w:rFonts w:ascii="Arial" w:hAnsi="Arial" w:cs="Arial"/>
                <w:color w:val="000000" w:themeColor="text1"/>
              </w:rPr>
              <w:t>kosten des Jahres 2025. </w:t>
            </w:r>
          </w:p>
          <w:p w14:paraId="61A88D84" w14:textId="77777777" w:rsidR="00CB0AFF" w:rsidRPr="00291A4C" w:rsidRDefault="00CB0AFF" w:rsidP="00CB0AFF">
            <w:pPr>
              <w:spacing w:line="360" w:lineRule="auto"/>
              <w:ind w:left="113"/>
              <w:rPr>
                <w:rFonts w:ascii="Arial" w:hAnsi="Arial" w:cs="Arial"/>
                <w:color w:val="000000" w:themeColor="text1"/>
              </w:rPr>
            </w:pPr>
            <w:r w:rsidRPr="00291A4C">
              <w:rPr>
                <w:rFonts w:ascii="Arial" w:hAnsi="Arial" w:cs="Arial"/>
                <w:color w:val="000000" w:themeColor="text1"/>
              </w:rPr>
              <w:t>Dabei sollte jedoch berücksichtigt werden, dass die zwischenzeitlich eingeführten kurz</w:t>
            </w:r>
            <w:r>
              <w:rPr>
                <w:rFonts w:ascii="Arial" w:hAnsi="Arial" w:cs="Arial"/>
                <w:color w:val="000000" w:themeColor="text1"/>
              </w:rPr>
              <w:t>-</w:t>
            </w:r>
            <w:proofErr w:type="spellStart"/>
            <w:r w:rsidRPr="00291A4C">
              <w:rPr>
                <w:rFonts w:ascii="Arial" w:hAnsi="Arial" w:cs="Arial"/>
                <w:color w:val="000000" w:themeColor="text1"/>
              </w:rPr>
              <w:t>fristigen</w:t>
            </w:r>
            <w:proofErr w:type="spellEnd"/>
            <w:r w:rsidRPr="00291A4C">
              <w:rPr>
                <w:rFonts w:ascii="Arial" w:hAnsi="Arial" w:cs="Arial"/>
                <w:color w:val="000000" w:themeColor="text1"/>
              </w:rPr>
              <w:t xml:space="preserve"> Maßnahmen ihre volle Wirkung noch entfalten müssen. Insbesondere die Einführung der Handelsbeschränkungen im L-Gas-Orderbuch sowie die verstärkte Nutzung von Transportkonvertierung haben zu einer Reduzierung der Kosten beigetragen. </w:t>
            </w:r>
          </w:p>
          <w:p w14:paraId="1A49FE76" w14:textId="77777777" w:rsidR="00CB0AFF" w:rsidRPr="00291A4C" w:rsidRDefault="00CB0AFF" w:rsidP="00CB0AFF">
            <w:pPr>
              <w:spacing w:line="360" w:lineRule="auto"/>
              <w:ind w:left="113"/>
              <w:rPr>
                <w:rFonts w:ascii="Arial" w:hAnsi="Arial" w:cs="Arial"/>
                <w:color w:val="000000" w:themeColor="text1"/>
              </w:rPr>
            </w:pPr>
            <w:r w:rsidRPr="00291A4C">
              <w:rPr>
                <w:rFonts w:ascii="Arial" w:hAnsi="Arial" w:cs="Arial"/>
                <w:color w:val="000000" w:themeColor="text1"/>
              </w:rPr>
              <w:t>Darüber hinaus w</w:t>
            </w:r>
            <w:r>
              <w:rPr>
                <w:rFonts w:ascii="Arial" w:hAnsi="Arial" w:cs="Arial"/>
                <w:color w:val="000000" w:themeColor="text1"/>
              </w:rPr>
              <w:t>ird</w:t>
            </w:r>
            <w:r w:rsidRPr="00291A4C">
              <w:rPr>
                <w:rFonts w:ascii="Arial" w:hAnsi="Arial" w:cs="Arial"/>
                <w:color w:val="000000" w:themeColor="text1"/>
              </w:rPr>
              <w:t xml:space="preserve"> die Reduzierung der festen Entry-Kapazitäten in die L-Gas-Zone erst ab dem 1. April 2027 vollständig wirksam. Hierdurch sinken die festen VIP-Kapazitäten gegenüber dem Sommer 2025 erheblich (siehe Tabelle 1), während zugleich für L-Gasspeicher perspektivisch keine festen Entry-Kapazitäten mehr angeboten werden. </w:t>
            </w:r>
          </w:p>
          <w:p w14:paraId="23B3B1DC" w14:textId="77777777" w:rsidR="00CB0AFF" w:rsidRPr="00291A4C" w:rsidRDefault="00CB0AFF" w:rsidP="00CB0AFF">
            <w:pPr>
              <w:spacing w:line="360" w:lineRule="auto"/>
              <w:ind w:left="113"/>
              <w:rPr>
                <w:rFonts w:ascii="Arial" w:hAnsi="Arial" w:cs="Arial"/>
                <w:color w:val="000000" w:themeColor="text1"/>
              </w:rPr>
            </w:pPr>
            <w:r w:rsidRPr="00291A4C">
              <w:rPr>
                <w:rFonts w:ascii="Arial" w:hAnsi="Arial" w:cs="Arial"/>
                <w:color w:val="000000" w:themeColor="text1"/>
              </w:rPr>
              <w:t>Es ist davon auszugehen, dass die Voraussetzungen für die hohen Überspeisungen des Sommers 2025 künftig kaum noch gegeben sind. Bereits ab April 2027 wird das verfügbare Kapazitätsniveau deutlich reduziert, ab Oktober 2027 erscheint das Entstehen ähnlich hoher Konvertierungskosten praktisch ausgeschlossen. </w:t>
            </w:r>
          </w:p>
          <w:p w14:paraId="3FBB1937" w14:textId="77777777" w:rsidR="00CB0AFF" w:rsidRPr="00291A4C" w:rsidRDefault="00CB0AFF" w:rsidP="00CB0AFF">
            <w:pPr>
              <w:spacing w:line="360" w:lineRule="auto"/>
              <w:ind w:left="113"/>
              <w:rPr>
                <w:rFonts w:ascii="Arial" w:hAnsi="Arial" w:cs="Arial"/>
                <w:color w:val="000000" w:themeColor="text1"/>
              </w:rPr>
            </w:pPr>
            <w:r w:rsidRPr="44FA1B77">
              <w:rPr>
                <w:rFonts w:ascii="Arial" w:hAnsi="Arial" w:cs="Arial"/>
                <w:color w:val="000000" w:themeColor="text1"/>
              </w:rPr>
              <w:lastRenderedPageBreak/>
              <w:t>Vor diesem Hintergrund halten wir die Wiedereinführung eines Konvertierungsentgelts ab dem 1. April 2027 zum jetzigen Zeitpunkt für nicht erforderlich. Der Markt hat bereits einschneidende handels-seitige Einschränkungen mitgetragen. Ein zusätzliches Entgelt würde den regulatorischen Eingriff weiter verschärfen, ohne dass die Notwendigkeit hierfür hinreichend belegt erscheint. </w:t>
            </w:r>
          </w:p>
          <w:p w14:paraId="07C33A16" w14:textId="77777777" w:rsidR="00CB0AFF" w:rsidRPr="005252EB" w:rsidRDefault="00CB0AFF" w:rsidP="00CB0AFF">
            <w:pPr>
              <w:pStyle w:val="Heading1"/>
              <w:numPr>
                <w:ilvl w:val="2"/>
                <w:numId w:val="4"/>
              </w:numPr>
              <w:tabs>
                <w:tab w:val="num" w:pos="360"/>
              </w:tabs>
              <w:ind w:left="1440" w:firstLine="0"/>
              <w:rPr>
                <w:sz w:val="22"/>
              </w:rPr>
            </w:pPr>
            <w:r w:rsidRPr="005252EB">
              <w:t>Anreizbasiertes, statisches Konvertierungsentgelt </w:t>
            </w:r>
          </w:p>
          <w:p w14:paraId="67980F11"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Sollte die Beschlusskammer dennoch ein Konvertierungsentgelt einführen, sollte dieses weiterhin als anreizbasiertes statisches Konvertierungsentgelt ausgestaltet werden. Die bestehende Systematik ist bekannt und verursacht den geringsten zusätzlichen Umsetzungsaufwand.  </w:t>
            </w:r>
          </w:p>
          <w:p w14:paraId="4F86FE67" w14:textId="77777777" w:rsidR="00CB0AFF" w:rsidRPr="007B6D43" w:rsidRDefault="00CB0AFF" w:rsidP="00CB0AFF">
            <w:pPr>
              <w:pStyle w:val="Heading1"/>
              <w:numPr>
                <w:ilvl w:val="2"/>
                <w:numId w:val="4"/>
              </w:numPr>
              <w:tabs>
                <w:tab w:val="num" w:pos="360"/>
              </w:tabs>
              <w:ind w:left="1440" w:firstLine="0"/>
            </w:pPr>
            <w:r w:rsidRPr="007B6D43">
              <w:t>Anpassung der Entgelthöhe alle 12 Monate zum Start des Gaswirtschaftsjahres </w:t>
            </w:r>
          </w:p>
          <w:p w14:paraId="08DA9F98"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Die Festlegung der Entgelthöhe für ein gesamtes Gaswirtschaftsjahr ist aus Gründen der Planungs- und Kalkulationssicherheit zu begrüßen. Die</w:t>
            </w:r>
            <w:r>
              <w:rPr>
                <w:rFonts w:ascii="Arial" w:hAnsi="Arial" w:cs="Arial"/>
                <w:color w:val="000000" w:themeColor="text1"/>
              </w:rPr>
              <w:t xml:space="preserve"> </w:t>
            </w:r>
            <w:r w:rsidRPr="005F77D7">
              <w:rPr>
                <w:rFonts w:ascii="Arial" w:hAnsi="Arial" w:cs="Arial"/>
                <w:color w:val="000000" w:themeColor="text1"/>
              </w:rPr>
              <w:t>Veröffentlichung</w:t>
            </w:r>
            <w:r>
              <w:rPr>
                <w:rFonts w:ascii="Arial" w:hAnsi="Arial" w:cs="Arial"/>
                <w:color w:val="000000" w:themeColor="text1"/>
              </w:rPr>
              <w:t xml:space="preserve"> m</w:t>
            </w:r>
            <w:r w:rsidRPr="005F77D7">
              <w:rPr>
                <w:rFonts w:ascii="Arial" w:hAnsi="Arial" w:cs="Arial"/>
                <w:color w:val="000000" w:themeColor="text1"/>
              </w:rPr>
              <w:t>uss rechtzeitig vor den Jahresauktionen im Juli erfolgen, da das Entgelt unmittelbare Auswirkungen auf die Transportkosten an den Grenzübergangspunkten besitzt. </w:t>
            </w:r>
          </w:p>
          <w:p w14:paraId="46294C75" w14:textId="77777777" w:rsidR="00CB0AFF" w:rsidRPr="005F77D7" w:rsidRDefault="00CB0AFF" w:rsidP="00CB0AFF">
            <w:pPr>
              <w:keepLines/>
              <w:spacing w:line="360" w:lineRule="auto"/>
              <w:ind w:left="113"/>
              <w:rPr>
                <w:rFonts w:ascii="Arial" w:hAnsi="Arial" w:cs="Arial"/>
                <w:color w:val="000000" w:themeColor="text1"/>
              </w:rPr>
            </w:pPr>
            <w:r w:rsidRPr="005F77D7">
              <w:rPr>
                <w:rFonts w:ascii="Arial" w:hAnsi="Arial" w:cs="Arial"/>
                <w:color w:val="000000" w:themeColor="text1"/>
              </w:rPr>
              <w:t>Ein Inkrafttreten sollte erst zum nächsten Gaswirtschaftsjahr</w:t>
            </w:r>
            <w:r>
              <w:rPr>
                <w:rFonts w:ascii="Arial" w:hAnsi="Arial" w:cs="Arial"/>
                <w:color w:val="000000" w:themeColor="text1"/>
              </w:rPr>
              <w:t xml:space="preserve"> e</w:t>
            </w:r>
            <w:r w:rsidRPr="005F77D7">
              <w:rPr>
                <w:rFonts w:ascii="Arial" w:hAnsi="Arial" w:cs="Arial"/>
                <w:color w:val="000000" w:themeColor="text1"/>
              </w:rPr>
              <w:t>rfolgen. THE sollte verpflichtet werden, das Entgelt unverzüglich nach Erlass der Festlegung zu veröffentlichen, wenn die Einführung für innerhalb eines laufenden Gaswirtschaftsjahres geplant wird. </w:t>
            </w:r>
          </w:p>
          <w:p w14:paraId="3966EDDC" w14:textId="77777777" w:rsidR="00CB0AFF" w:rsidRPr="007B6D43" w:rsidRDefault="00CB0AFF" w:rsidP="00CB0AFF">
            <w:pPr>
              <w:pStyle w:val="Heading1"/>
              <w:numPr>
                <w:ilvl w:val="2"/>
                <w:numId w:val="4"/>
              </w:numPr>
              <w:tabs>
                <w:tab w:val="num" w:pos="360"/>
              </w:tabs>
              <w:ind w:left="1440" w:firstLine="0"/>
            </w:pPr>
            <w:r w:rsidRPr="007B6D43">
              <w:t>Ex ante veröffentlichte </w:t>
            </w:r>
            <w:proofErr w:type="spellStart"/>
            <w:r w:rsidRPr="007B6D43">
              <w:t>Saisonalfaktoren</w:t>
            </w:r>
            <w:proofErr w:type="spellEnd"/>
            <w:r w:rsidRPr="007B6D43">
              <w:t> </w:t>
            </w:r>
          </w:p>
          <w:p w14:paraId="3CBFE418"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Wir sehen keinen hinreichenden Mehrwert für saisonale Faktoren. Das System sollte möglichst einfach und transparent ausgestaltet bleiben und lediglich eine einheitliche Entgelthöhe für das gesamte Gaswirtschaftsjahr vorsehen. </w:t>
            </w:r>
          </w:p>
          <w:p w14:paraId="289E3806" w14:textId="77777777" w:rsidR="00CB0AFF" w:rsidRDefault="00CB0AFF" w:rsidP="00CB0AFF">
            <w:pPr>
              <w:pStyle w:val="Heading1"/>
              <w:numPr>
                <w:ilvl w:val="2"/>
                <w:numId w:val="4"/>
              </w:numPr>
              <w:tabs>
                <w:tab w:val="num" w:pos="360"/>
              </w:tabs>
              <w:ind w:left="1440" w:firstLine="0"/>
              <w:rPr>
                <w:rFonts w:ascii="Segoe UI" w:hAnsi="Segoe UI" w:cs="Segoe UI"/>
                <w:sz w:val="18"/>
                <w:szCs w:val="18"/>
              </w:rPr>
            </w:pPr>
            <w:r w:rsidRPr="005F77D7">
              <w:lastRenderedPageBreak/>
              <w:t>Kürzere Anpassungsintervalle oder ex </w:t>
            </w:r>
            <w:proofErr w:type="spellStart"/>
            <w:r w:rsidRPr="005F77D7">
              <w:t>post</w:t>
            </w:r>
            <w:proofErr w:type="spellEnd"/>
            <w:r w:rsidRPr="005F77D7">
              <w:t> bestimmtes dynamisches</w:t>
            </w:r>
            <w:r>
              <w:rPr>
                <w:rStyle w:val="normaltextrun"/>
                <w:rFonts w:ascii="Aptos" w:hAnsi="Aptos" w:cs="Segoe UI"/>
                <w:b w:val="0"/>
                <w:bCs w:val="0"/>
                <w:sz w:val="22"/>
              </w:rPr>
              <w:t xml:space="preserve"> </w:t>
            </w:r>
            <w:r w:rsidRPr="005F77D7">
              <w:t>Konvertierungsentgelt </w:t>
            </w:r>
          </w:p>
          <w:p w14:paraId="58D806B6" w14:textId="77777777" w:rsidR="00CB0AFF"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Die bestehende Logik der Entgeltbestimmung oder die Anpassungsintervalle für die verbleibende Restlaufzeit des Systems sollte nicht grundlegend verändert werden. </w:t>
            </w:r>
          </w:p>
          <w:p w14:paraId="7286475C" w14:textId="77777777" w:rsidR="00CB0AFF" w:rsidRPr="00001FAE" w:rsidRDefault="00CB0AFF" w:rsidP="00CB0AFF">
            <w:pPr>
              <w:spacing w:line="360" w:lineRule="auto"/>
              <w:ind w:left="113"/>
              <w:rPr>
                <w:rFonts w:ascii="Segoe UI" w:hAnsi="Segoe UI" w:cs="Segoe UI"/>
                <w:sz w:val="18"/>
                <w:szCs w:val="18"/>
              </w:rPr>
            </w:pPr>
            <w:r w:rsidRPr="005F77D7">
              <w:rPr>
                <w:rFonts w:ascii="Arial" w:hAnsi="Arial" w:cs="Arial"/>
                <w:color w:val="000000" w:themeColor="text1"/>
              </w:rPr>
              <w:t>Dynamische oder ex-post bestimmte Entgelte würden aus Sicht von Equinor die Komplexität erhöhen und die Kalkulierbarkeit für die Marktteilnehmer verschlechtern. </w:t>
            </w:r>
            <w:r w:rsidRPr="00001FAE">
              <w:rPr>
                <w:rStyle w:val="eop"/>
                <w:rFonts w:ascii="Aptos" w:hAnsi="Aptos" w:cs="Segoe UI"/>
                <w:bdr w:val="none" w:sz="0" w:space="0" w:color="auto" w:frame="1"/>
                <w:shd w:val="clear" w:color="auto" w:fill="C6C6C6"/>
              </w:rPr>
              <w:t> </w:t>
            </w:r>
          </w:p>
          <w:p w14:paraId="246C8D0F" w14:textId="6BFBEDA1" w:rsidR="00CB0AFF" w:rsidRPr="005F77D7" w:rsidRDefault="00CB0AFF" w:rsidP="00CB0AFF">
            <w:pPr>
              <w:pStyle w:val="Heading1"/>
              <w:numPr>
                <w:ilvl w:val="2"/>
                <w:numId w:val="4"/>
              </w:numPr>
              <w:tabs>
                <w:tab w:val="num" w:pos="360"/>
              </w:tabs>
              <w:ind w:left="1440" w:firstLine="0"/>
            </w:pPr>
            <w:r w:rsidRPr="005F77D7">
              <w:t>Einführun</w:t>
            </w:r>
            <w:r>
              <w:t>g</w:t>
            </w:r>
            <w:r w:rsidRPr="005F77D7">
              <w:t xml:space="preserve"> einer Entgeltobergrenze </w:t>
            </w:r>
          </w:p>
          <w:p w14:paraId="736C3D01" w14:textId="77777777" w:rsidR="00CB0AFF" w:rsidRDefault="00CB0AFF" w:rsidP="00CB0AFF">
            <w:pPr>
              <w:spacing w:line="360" w:lineRule="auto"/>
              <w:ind w:left="113"/>
              <w:rPr>
                <w:rStyle w:val="eop"/>
                <w:rFonts w:ascii="Aptos" w:hAnsi="Aptos" w:cs="Segoe UI"/>
                <w:bdr w:val="none" w:sz="0" w:space="0" w:color="auto" w:frame="1"/>
                <w:shd w:val="clear" w:color="auto" w:fill="C6C6C6"/>
              </w:rPr>
            </w:pPr>
            <w:r w:rsidRPr="005F77D7">
              <w:rPr>
                <w:rFonts w:ascii="Arial" w:hAnsi="Arial" w:cs="Arial"/>
                <w:color w:val="000000" w:themeColor="text1"/>
              </w:rPr>
              <w:t>Die Beibehaltung einer Entgeltobergrenze halten wir für wesentlich. Zur Sicherung regulatorischer Stabilität und zur Aufrechterhaltung eines Mindestmaßes an qualitätsübergreifendem Handel sollte die bisherige Obergrenze von 0,45 €/MWh fortgeführt werden. </w:t>
            </w:r>
            <w:r w:rsidRPr="009D69B9">
              <w:rPr>
                <w:rStyle w:val="eop"/>
                <w:rFonts w:ascii="Aptos" w:hAnsi="Aptos" w:cs="Segoe UI"/>
                <w:bdr w:val="none" w:sz="0" w:space="0" w:color="auto" w:frame="1"/>
                <w:shd w:val="clear" w:color="auto" w:fill="C6C6C6"/>
              </w:rPr>
              <w:t> </w:t>
            </w:r>
          </w:p>
          <w:p w14:paraId="1A6D5749" w14:textId="77777777" w:rsidR="00CB0AFF" w:rsidRPr="005F77D7" w:rsidRDefault="00CB0AFF" w:rsidP="00CB0AFF">
            <w:pPr>
              <w:pStyle w:val="Heading1"/>
              <w:numPr>
                <w:ilvl w:val="2"/>
                <w:numId w:val="4"/>
              </w:numPr>
              <w:tabs>
                <w:tab w:val="num" w:pos="360"/>
              </w:tabs>
              <w:ind w:left="1440" w:firstLine="0"/>
            </w:pPr>
            <w:r w:rsidRPr="005F77D7">
              <w:t>Gleichlaufende Ausgestaltung der Konvertierungsentgelte </w:t>
            </w:r>
          </w:p>
          <w:p w14:paraId="6FBA522D" w14:textId="77777777" w:rsidR="00CB0AFF" w:rsidRPr="009D69B9" w:rsidRDefault="00CB0AFF" w:rsidP="00CB0AFF">
            <w:pPr>
              <w:spacing w:line="360" w:lineRule="auto"/>
              <w:ind w:left="113"/>
              <w:rPr>
                <w:rFonts w:ascii="Segoe UI" w:hAnsi="Segoe UI" w:cs="Segoe UI"/>
                <w:sz w:val="18"/>
                <w:szCs w:val="18"/>
              </w:rPr>
            </w:pPr>
            <w:r w:rsidRPr="005F77D7">
              <w:rPr>
                <w:rFonts w:ascii="Arial" w:hAnsi="Arial" w:cs="Arial"/>
                <w:color w:val="000000" w:themeColor="text1"/>
              </w:rPr>
              <w:t>Wir unterstützen den Vorschlag der Beschlusskammer, keine unterschiedlichen Regelungen für die beiden Konvertierungsrichtungen vorzusehen. </w:t>
            </w:r>
            <w:r w:rsidRPr="009D69B9">
              <w:rPr>
                <w:rStyle w:val="eop"/>
                <w:rFonts w:ascii="Aptos" w:hAnsi="Aptos" w:cs="Segoe UI"/>
                <w:bdr w:val="none" w:sz="0" w:space="0" w:color="auto" w:frame="1"/>
                <w:shd w:val="clear" w:color="auto" w:fill="C6C6C6"/>
              </w:rPr>
              <w:t> </w:t>
            </w:r>
          </w:p>
          <w:p w14:paraId="66665897" w14:textId="77777777" w:rsidR="003936B4" w:rsidRDefault="003936B4"/>
        </w:tc>
      </w:tr>
      <w:tr w:rsidR="003936B4" w14:paraId="2F4303E7" w14:textId="77777777" w:rsidTr="005F5560">
        <w:tc>
          <w:tcPr>
            <w:tcW w:w="4240" w:type="dxa"/>
          </w:tcPr>
          <w:p w14:paraId="1D9B1F97" w14:textId="39E83E6C" w:rsidR="00CB0AFF" w:rsidRPr="00CB0AFF" w:rsidRDefault="00CB0AFF" w:rsidP="00CB0AFF">
            <w:pPr>
              <w:spacing w:line="360" w:lineRule="auto"/>
              <w:rPr>
                <w:rFonts w:ascii="Arial" w:hAnsi="Arial" w:cs="Arial"/>
                <w:b/>
                <w:bCs/>
                <w:color w:val="000000" w:themeColor="text1"/>
              </w:rPr>
            </w:pPr>
            <w:r>
              <w:rPr>
                <w:rFonts w:ascii="Arial" w:hAnsi="Arial" w:cs="Arial"/>
                <w:b/>
                <w:bCs/>
                <w:color w:val="000000" w:themeColor="text1"/>
              </w:rPr>
              <w:lastRenderedPageBreak/>
              <w:t xml:space="preserve">IV. </w:t>
            </w:r>
            <w:r w:rsidRPr="00CB0AFF">
              <w:rPr>
                <w:rFonts w:ascii="Arial" w:hAnsi="Arial" w:cs="Arial"/>
                <w:b/>
                <w:bCs/>
                <w:color w:val="000000" w:themeColor="text1"/>
              </w:rPr>
              <w:t>Anpassungen des Ausschüttungsmechanismus </w:t>
            </w:r>
          </w:p>
          <w:p w14:paraId="5926D886" w14:textId="77777777" w:rsidR="003936B4" w:rsidRDefault="003936B4"/>
        </w:tc>
        <w:tc>
          <w:tcPr>
            <w:tcW w:w="11148" w:type="dxa"/>
          </w:tcPr>
          <w:p w14:paraId="4F496DBC"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Zunächst begrüßen wir ausdrücklich, dass die Beschlusskammer die Regelungslücke hinsichtlich der Abwicklung von Restsalden am Ende des Konvertierungssystems aufgegriffen hat. </w:t>
            </w:r>
          </w:p>
          <w:p w14:paraId="4F039326"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 xml:space="preserve">Die von THE sowie der Beschlusskammer diskutierte Überführung von Kontosalden in das Bilanzierungsumlagekonto lehnen wir jedoch ab. Die Trennung unterschiedlicher Umlage- und Regulierungskonten stellt einen wesentlichen Grundsatz regulatorischer Stabilität und Rechtsstaatlichkeit dar. Aus denselben Gründen lehnt </w:t>
            </w:r>
            <w:r w:rsidRPr="005F77D7">
              <w:rPr>
                <w:rFonts w:ascii="Arial" w:hAnsi="Arial" w:cs="Arial"/>
                <w:color w:val="000000" w:themeColor="text1"/>
              </w:rPr>
              <w:lastRenderedPageBreak/>
              <w:t>Equinor auch andere diskutierte Ansätze einer zweckfremden Verwendung von Kontosalden ab. Die vorgeschlagene Umbuchung eines durch Entry-Flüsse finanzierten Konvertierungsumlagekontos in ein Bilanzierungsumlagekonto würde diesen Grundsatz durchbrechen. </w:t>
            </w:r>
          </w:p>
          <w:p w14:paraId="5730E814"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Die Beschlusskammer hat sich bei Einführung von KONNI bewusst für eine Finanzierung über die Entry-Seite entschieden. Daraus folgt zwingend, dass verbleibende Guthaben oder Fehlbeträge ebenfalls über die Entry-Seite abgerechnet werden müssen. Equinor spricht sich deshalb für die Ausschüttung auf Basis historisch gezahlter Umlagen aus.  </w:t>
            </w:r>
          </w:p>
          <w:p w14:paraId="0A4427DA"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Der finale Saldo sollte anhand eines Ausschüttungsschlüssels (z.B. entsprechend anteilig der erfolgten Einzahlungen) verteilt werden, der auf tatsächlich gezahlten Konvertierungs</w:t>
            </w:r>
            <w:r>
              <w:rPr>
                <w:rFonts w:ascii="Arial" w:hAnsi="Arial" w:cs="Arial"/>
                <w:color w:val="000000" w:themeColor="text1"/>
              </w:rPr>
              <w:t>-</w:t>
            </w:r>
            <w:r w:rsidRPr="005F77D7">
              <w:rPr>
                <w:rFonts w:ascii="Arial" w:hAnsi="Arial" w:cs="Arial"/>
                <w:color w:val="000000" w:themeColor="text1"/>
              </w:rPr>
              <w:t>umlagen beruht. Der Betrachtungszeitraum sollte ganze Gaswirtschafts</w:t>
            </w:r>
            <w:r>
              <w:rPr>
                <w:rFonts w:ascii="Arial" w:hAnsi="Arial" w:cs="Arial"/>
                <w:color w:val="000000" w:themeColor="text1"/>
              </w:rPr>
              <w:t>-</w:t>
            </w:r>
            <w:r w:rsidRPr="005F77D7">
              <w:rPr>
                <w:rFonts w:ascii="Arial" w:hAnsi="Arial" w:cs="Arial"/>
                <w:color w:val="000000" w:themeColor="text1"/>
              </w:rPr>
              <w:t>jahre umfassen und so weit zurückreichen, bis die Summe der berücksichtigten Umlagezahlungen mindestens den auszuschüttenden Saldo erreicht. Aus unserer</w:t>
            </w:r>
            <w:r>
              <w:rPr>
                <w:rFonts w:ascii="Arial" w:hAnsi="Arial" w:cs="Arial"/>
                <w:color w:val="000000" w:themeColor="text1"/>
              </w:rPr>
              <w:t xml:space="preserve"> </w:t>
            </w:r>
            <w:r w:rsidRPr="005F77D7">
              <w:rPr>
                <w:rFonts w:ascii="Arial" w:hAnsi="Arial" w:cs="Arial"/>
                <w:color w:val="000000" w:themeColor="text1"/>
              </w:rPr>
              <w:t>Sicht ist diese Lösung verursachungsgerecht.   </w:t>
            </w:r>
          </w:p>
          <w:p w14:paraId="73B98ED7"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Eine weitere Möglichkeit wäre die Einführung einer negativen Konvertierungsumlage durch THE. Dieses Modell wird bereits in einigen Nachbarländern (z.B. BE/NL) angewandt.  Auch hier wären die Empfänger dieselben, wie die Zahler und das Modell erlaubt eine frühzeitige Rückführung von Überschüssen bereits vor Ende der Marktraumumstellung durch sukzessive Absenkung des benötigten Liquiditätspuffers. Es könnte zusätzliche Anreize für Importe, Produktion, und Speicherungen ergeben. </w:t>
            </w:r>
          </w:p>
          <w:p w14:paraId="30A9B43C"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 xml:space="preserve">Ein wie von THE und der Beschlusskammer vorgeschlagenes „Verschmieren“ unterschiedlicher Umlagesysteme lehnt Equinor </w:t>
            </w:r>
            <w:r>
              <w:rPr>
                <w:rFonts w:ascii="Arial" w:hAnsi="Arial" w:cs="Arial"/>
                <w:color w:val="000000" w:themeColor="text1"/>
              </w:rPr>
              <w:t xml:space="preserve">Deutschland </w:t>
            </w:r>
            <w:r w:rsidRPr="005F77D7">
              <w:rPr>
                <w:rFonts w:ascii="Arial" w:hAnsi="Arial" w:cs="Arial"/>
                <w:color w:val="000000" w:themeColor="text1"/>
              </w:rPr>
              <w:t>dagegen ab. </w:t>
            </w:r>
          </w:p>
          <w:p w14:paraId="424D6C5D" w14:textId="77777777" w:rsidR="003936B4" w:rsidRDefault="003936B4"/>
        </w:tc>
      </w:tr>
      <w:tr w:rsidR="00CB0AFF" w14:paraId="59BE4FF8" w14:textId="77777777" w:rsidTr="005F5560">
        <w:tc>
          <w:tcPr>
            <w:tcW w:w="4240" w:type="dxa"/>
          </w:tcPr>
          <w:p w14:paraId="750ECE9B" w14:textId="77777777" w:rsidR="00CB0AFF" w:rsidRPr="005F77D7" w:rsidRDefault="00CB0AFF" w:rsidP="00CB0AFF">
            <w:pPr>
              <w:pStyle w:val="ListParagraph"/>
              <w:numPr>
                <w:ilvl w:val="0"/>
                <w:numId w:val="2"/>
              </w:numPr>
              <w:spacing w:line="360" w:lineRule="auto"/>
              <w:rPr>
                <w:rFonts w:ascii="Arial" w:hAnsi="Arial" w:cs="Arial"/>
                <w:b/>
                <w:bCs/>
                <w:color w:val="000000" w:themeColor="text1"/>
                <w:lang w:val="de-DE"/>
              </w:rPr>
            </w:pPr>
            <w:r w:rsidRPr="005F77D7">
              <w:rPr>
                <w:rFonts w:ascii="Arial" w:hAnsi="Arial" w:cs="Arial"/>
                <w:b/>
                <w:bCs/>
                <w:color w:val="000000" w:themeColor="text1"/>
                <w:lang w:val="de-DE"/>
              </w:rPr>
              <w:lastRenderedPageBreak/>
              <w:t>Anpassungen Evaluierungspflicht </w:t>
            </w:r>
          </w:p>
          <w:p w14:paraId="75631C7B" w14:textId="77777777" w:rsidR="00CB0AFF" w:rsidRDefault="00CB0AFF" w:rsidP="00CB0AFF">
            <w:pPr>
              <w:spacing w:line="360" w:lineRule="auto"/>
              <w:rPr>
                <w:rFonts w:ascii="Arial" w:hAnsi="Arial" w:cs="Arial"/>
                <w:b/>
                <w:bCs/>
                <w:color w:val="000000" w:themeColor="text1"/>
              </w:rPr>
            </w:pPr>
          </w:p>
        </w:tc>
        <w:tc>
          <w:tcPr>
            <w:tcW w:w="11148" w:type="dxa"/>
          </w:tcPr>
          <w:p w14:paraId="46AC9600"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Der vorgeschlagene Wegfall der Verpflichtung zur jährlichen Evaluierung der Notwendigkeit des Konvertierungsentgelts nach Ziffer 3a der KONNI-Festlegung erscheint sachgerecht. </w:t>
            </w:r>
          </w:p>
          <w:p w14:paraId="66034FF8"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lastRenderedPageBreak/>
              <w:t>Angesichts der begrenzten Restlaufzeit des Konvertierungssystems ist eine übergeordnete Bewertung der weiteren Anwendbarkeit des Gesamtsystems sinnvoller als eine jährliche Grundsatzdiskussion über das Entgelt selbst. </w:t>
            </w:r>
          </w:p>
          <w:p w14:paraId="281FD25C" w14:textId="77777777" w:rsidR="00CB0AFF" w:rsidRPr="005F77D7" w:rsidRDefault="00CB0AFF" w:rsidP="00CB0AFF">
            <w:pPr>
              <w:spacing w:line="360" w:lineRule="auto"/>
              <w:ind w:left="113"/>
              <w:rPr>
                <w:rFonts w:ascii="Arial" w:hAnsi="Arial" w:cs="Arial"/>
                <w:color w:val="000000" w:themeColor="text1"/>
              </w:rPr>
            </w:pPr>
            <w:r w:rsidRPr="005F77D7">
              <w:rPr>
                <w:rFonts w:ascii="Arial" w:hAnsi="Arial" w:cs="Arial"/>
                <w:color w:val="000000" w:themeColor="text1"/>
              </w:rPr>
              <w:t>Unabhängig davon sollten die bestehenden Veröffentlichungs- und Transparenzpflichten nach Ziffer 4 der KONNI-Festlegung vollständig erhalten bleiben. Diese Informationen stellen eine wesentliche Grundlage für die Nachvollziehbarkeit der Höhe von Entgelt und Umlage und dessen voraussichtliche weitere Entwicklung dar. </w:t>
            </w:r>
          </w:p>
          <w:p w14:paraId="76489663" w14:textId="77777777" w:rsidR="00CB0AFF" w:rsidRPr="005F77D7" w:rsidRDefault="00CB0AFF" w:rsidP="00CB0AFF">
            <w:pPr>
              <w:spacing w:line="360" w:lineRule="auto"/>
              <w:ind w:left="113"/>
              <w:rPr>
                <w:rFonts w:ascii="Arial" w:hAnsi="Arial" w:cs="Arial"/>
                <w:color w:val="000000" w:themeColor="text1"/>
              </w:rPr>
            </w:pPr>
          </w:p>
        </w:tc>
      </w:tr>
    </w:tbl>
    <w:p w14:paraId="464377F5" w14:textId="77777777" w:rsidR="00AA7E0C" w:rsidRDefault="00AA7E0C"/>
    <w:sectPr w:rsidR="00AA7E0C" w:rsidSect="0054245A">
      <w:headerReference w:type="default" r:id="rId11"/>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F1CD7" w14:textId="77777777" w:rsidR="00AF1DCE" w:rsidRDefault="00AF1DCE" w:rsidP="003A535C">
      <w:pPr>
        <w:spacing w:after="0" w:line="240" w:lineRule="auto"/>
      </w:pPr>
      <w:r>
        <w:separator/>
      </w:r>
    </w:p>
  </w:endnote>
  <w:endnote w:type="continuationSeparator" w:id="0">
    <w:p w14:paraId="7CE97470" w14:textId="77777777" w:rsidR="00AF1DCE" w:rsidRDefault="00AF1DCE" w:rsidP="003A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EF36E" w14:textId="77777777" w:rsidR="00AF1DCE" w:rsidRDefault="00AF1DCE" w:rsidP="003A535C">
      <w:pPr>
        <w:spacing w:after="0" w:line="240" w:lineRule="auto"/>
      </w:pPr>
      <w:r>
        <w:separator/>
      </w:r>
    </w:p>
  </w:footnote>
  <w:footnote w:type="continuationSeparator" w:id="0">
    <w:p w14:paraId="723A0347" w14:textId="77777777" w:rsidR="00AF1DCE" w:rsidRDefault="00AF1DCE" w:rsidP="003A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362779"/>
      <w:docPartObj>
        <w:docPartGallery w:val="Page Numbers (Top of Page)"/>
        <w:docPartUnique/>
      </w:docPartObj>
    </w:sdtPr>
    <w:sdtEndPr/>
    <w:sdtContent>
      <w:p w14:paraId="39803CAC" w14:textId="1800142F" w:rsidR="00B01631" w:rsidRDefault="00B01631">
        <w:pPr>
          <w:pStyle w:val="Header"/>
          <w:jc w:val="center"/>
        </w:pPr>
        <w:r>
          <w:fldChar w:fldCharType="begin"/>
        </w:r>
        <w:r>
          <w:instrText>PAGE   \* MERGEFORMAT</w:instrText>
        </w:r>
        <w:r>
          <w:fldChar w:fldCharType="separate"/>
        </w:r>
        <w:r w:rsidR="005E2131">
          <w:rPr>
            <w:noProof/>
          </w:rPr>
          <w:t>2</w:t>
        </w:r>
        <w:r>
          <w:fldChar w:fldCharType="end"/>
        </w:r>
      </w:p>
    </w:sdtContent>
  </w:sdt>
  <w:p w14:paraId="008B6602" w14:textId="77777777" w:rsidR="00B01631" w:rsidRDefault="00B01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7A81"/>
    <w:multiLevelType w:val="multilevel"/>
    <w:tmpl w:val="AFF4A84E"/>
    <w:lvl w:ilvl="0">
      <w:start w:val="1"/>
      <w:numFmt w:val="upperRoman"/>
      <w:lvlText w:val="%1."/>
      <w:lvlJc w:val="right"/>
      <w:pPr>
        <w:ind w:left="833" w:hanging="720"/>
      </w:pPr>
      <w:rPr>
        <w:rFonts w:hint="default"/>
      </w:rPr>
    </w:lvl>
    <w:lvl w:ilvl="1">
      <w:start w:val="1"/>
      <w:numFmt w:val="decimal"/>
      <w:isLgl/>
      <w:lvlText w:val="%1.%2"/>
      <w:lvlJc w:val="left"/>
      <w:pPr>
        <w:ind w:left="473" w:hanging="360"/>
      </w:pPr>
      <w:rPr>
        <w:rFonts w:hint="default"/>
      </w:rPr>
    </w:lvl>
    <w:lvl w:ilvl="2">
      <w:start w:val="1"/>
      <w:numFmt w:val="decimal"/>
      <w:isLgl/>
      <w:lvlText w:val="%1.%2.%3"/>
      <w:lvlJc w:val="left"/>
      <w:pPr>
        <w:ind w:left="833" w:hanging="720"/>
      </w:pPr>
      <w:rPr>
        <w:rFonts w:hint="default"/>
      </w:rPr>
    </w:lvl>
    <w:lvl w:ilvl="3">
      <w:start w:val="1"/>
      <w:numFmt w:val="decimal"/>
      <w:isLgl/>
      <w:lvlText w:val="%1.%2.%3.%4"/>
      <w:lvlJc w:val="left"/>
      <w:pPr>
        <w:ind w:left="833" w:hanging="720"/>
      </w:pPr>
      <w:rPr>
        <w:rFonts w:hint="default"/>
      </w:rPr>
    </w:lvl>
    <w:lvl w:ilvl="4">
      <w:start w:val="1"/>
      <w:numFmt w:val="decimal"/>
      <w:isLgl/>
      <w:lvlText w:val="%1.%2.%3.%4.%5"/>
      <w:lvlJc w:val="left"/>
      <w:pPr>
        <w:ind w:left="1193" w:hanging="1080"/>
      </w:pPr>
      <w:rPr>
        <w:rFonts w:hint="default"/>
      </w:rPr>
    </w:lvl>
    <w:lvl w:ilvl="5">
      <w:start w:val="1"/>
      <w:numFmt w:val="decimal"/>
      <w:isLgl/>
      <w:lvlText w:val="%1.%2.%3.%4.%5.%6"/>
      <w:lvlJc w:val="left"/>
      <w:pPr>
        <w:ind w:left="1193" w:hanging="1080"/>
      </w:pPr>
      <w:rPr>
        <w:rFonts w:hint="default"/>
      </w:rPr>
    </w:lvl>
    <w:lvl w:ilvl="6">
      <w:start w:val="1"/>
      <w:numFmt w:val="decimal"/>
      <w:isLgl/>
      <w:lvlText w:val="%1.%2.%3.%4.%5.%6.%7"/>
      <w:lvlJc w:val="left"/>
      <w:pPr>
        <w:ind w:left="1553" w:hanging="1440"/>
      </w:pPr>
      <w:rPr>
        <w:rFonts w:hint="default"/>
      </w:rPr>
    </w:lvl>
    <w:lvl w:ilvl="7">
      <w:start w:val="1"/>
      <w:numFmt w:val="decimal"/>
      <w:isLgl/>
      <w:lvlText w:val="%1.%2.%3.%4.%5.%6.%7.%8"/>
      <w:lvlJc w:val="left"/>
      <w:pPr>
        <w:ind w:left="1553" w:hanging="1440"/>
      </w:pPr>
      <w:rPr>
        <w:rFonts w:hint="default"/>
      </w:rPr>
    </w:lvl>
    <w:lvl w:ilvl="8">
      <w:start w:val="1"/>
      <w:numFmt w:val="decimal"/>
      <w:isLgl/>
      <w:lvlText w:val="%1.%2.%3.%4.%5.%6.%7.%8.%9"/>
      <w:lvlJc w:val="left"/>
      <w:pPr>
        <w:ind w:left="1913" w:hanging="1800"/>
      </w:pPr>
      <w:rPr>
        <w:rFonts w:hint="default"/>
      </w:rPr>
    </w:lvl>
  </w:abstractNum>
  <w:abstractNum w:abstractNumId="1" w15:restartNumberingAfterBreak="0">
    <w:nsid w:val="5DCC26E1"/>
    <w:multiLevelType w:val="hybridMultilevel"/>
    <w:tmpl w:val="DBD2995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E9E2E51"/>
    <w:multiLevelType w:val="multilevel"/>
    <w:tmpl w:val="2000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70CC0BA0"/>
    <w:multiLevelType w:val="multilevel"/>
    <w:tmpl w:val="2000001D"/>
    <w:lvl w:ilvl="0">
      <w:start w:val="1"/>
      <w:numFmt w:val="decimal"/>
      <w:lvlText w:val="%1)"/>
      <w:lvlJc w:val="left"/>
      <w:pPr>
        <w:ind w:left="473" w:hanging="360"/>
      </w:pPr>
    </w:lvl>
    <w:lvl w:ilvl="1">
      <w:start w:val="1"/>
      <w:numFmt w:val="lowerLetter"/>
      <w:lvlText w:val="%2)"/>
      <w:lvlJc w:val="left"/>
      <w:pPr>
        <w:ind w:left="833" w:hanging="360"/>
      </w:pPr>
    </w:lvl>
    <w:lvl w:ilvl="2">
      <w:start w:val="1"/>
      <w:numFmt w:val="lowerRoman"/>
      <w:lvlText w:val="%3)"/>
      <w:lvlJc w:val="left"/>
      <w:pPr>
        <w:ind w:left="1193" w:hanging="360"/>
      </w:pPr>
    </w:lvl>
    <w:lvl w:ilvl="3">
      <w:start w:val="1"/>
      <w:numFmt w:val="decimal"/>
      <w:lvlText w:val="(%4)"/>
      <w:lvlJc w:val="left"/>
      <w:pPr>
        <w:ind w:left="1553" w:hanging="360"/>
      </w:pPr>
    </w:lvl>
    <w:lvl w:ilvl="4">
      <w:start w:val="1"/>
      <w:numFmt w:val="lowerLetter"/>
      <w:lvlText w:val="(%5)"/>
      <w:lvlJc w:val="left"/>
      <w:pPr>
        <w:ind w:left="1913" w:hanging="360"/>
      </w:pPr>
    </w:lvl>
    <w:lvl w:ilvl="5">
      <w:start w:val="1"/>
      <w:numFmt w:val="lowerRoman"/>
      <w:lvlText w:val="(%6)"/>
      <w:lvlJc w:val="left"/>
      <w:pPr>
        <w:ind w:left="2273" w:hanging="360"/>
      </w:pPr>
    </w:lvl>
    <w:lvl w:ilvl="6">
      <w:start w:val="1"/>
      <w:numFmt w:val="decimal"/>
      <w:lvlText w:val="%7."/>
      <w:lvlJc w:val="left"/>
      <w:pPr>
        <w:ind w:left="2633" w:hanging="360"/>
      </w:pPr>
    </w:lvl>
    <w:lvl w:ilvl="7">
      <w:start w:val="1"/>
      <w:numFmt w:val="lowerLetter"/>
      <w:lvlText w:val="%8."/>
      <w:lvlJc w:val="left"/>
      <w:pPr>
        <w:ind w:left="2993" w:hanging="360"/>
      </w:pPr>
    </w:lvl>
    <w:lvl w:ilvl="8">
      <w:start w:val="1"/>
      <w:numFmt w:val="lowerRoman"/>
      <w:lvlText w:val="%9."/>
      <w:lvlJc w:val="left"/>
      <w:pPr>
        <w:ind w:left="3353" w:hanging="360"/>
      </w:pPr>
    </w:lvl>
  </w:abstractNum>
  <w:num w:numId="1" w16cid:durableId="466747830">
    <w:abstractNumId w:val="1"/>
  </w:num>
  <w:num w:numId="2" w16cid:durableId="239490766">
    <w:abstractNumId w:val="0"/>
  </w:num>
  <w:num w:numId="3" w16cid:durableId="868420780">
    <w:abstractNumId w:val="2"/>
  </w:num>
  <w:num w:numId="4" w16cid:durableId="407576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35C"/>
    <w:rsid w:val="00001A2F"/>
    <w:rsid w:val="00006930"/>
    <w:rsid w:val="00030E2F"/>
    <w:rsid w:val="00055B92"/>
    <w:rsid w:val="00086C86"/>
    <w:rsid w:val="000A1389"/>
    <w:rsid w:val="000D75AD"/>
    <w:rsid w:val="001544B7"/>
    <w:rsid w:val="001712E2"/>
    <w:rsid w:val="00194BEB"/>
    <w:rsid w:val="001B4483"/>
    <w:rsid w:val="001F4C13"/>
    <w:rsid w:val="00207B53"/>
    <w:rsid w:val="00263D00"/>
    <w:rsid w:val="002A3DC1"/>
    <w:rsid w:val="002A54D0"/>
    <w:rsid w:val="002D3AF5"/>
    <w:rsid w:val="002F6FB6"/>
    <w:rsid w:val="003634BB"/>
    <w:rsid w:val="0038768B"/>
    <w:rsid w:val="003936B4"/>
    <w:rsid w:val="003A535C"/>
    <w:rsid w:val="003B374F"/>
    <w:rsid w:val="003E0665"/>
    <w:rsid w:val="003E5199"/>
    <w:rsid w:val="00457D3E"/>
    <w:rsid w:val="00477680"/>
    <w:rsid w:val="004978BC"/>
    <w:rsid w:val="004C53C1"/>
    <w:rsid w:val="004D5363"/>
    <w:rsid w:val="004E1508"/>
    <w:rsid w:val="004F006B"/>
    <w:rsid w:val="00513AE3"/>
    <w:rsid w:val="0054245A"/>
    <w:rsid w:val="005500F1"/>
    <w:rsid w:val="00550433"/>
    <w:rsid w:val="00562845"/>
    <w:rsid w:val="00570933"/>
    <w:rsid w:val="0058348C"/>
    <w:rsid w:val="005E2131"/>
    <w:rsid w:val="006042A4"/>
    <w:rsid w:val="00606519"/>
    <w:rsid w:val="006150DB"/>
    <w:rsid w:val="0063125F"/>
    <w:rsid w:val="0071094E"/>
    <w:rsid w:val="007B7E76"/>
    <w:rsid w:val="007E22E9"/>
    <w:rsid w:val="007E784B"/>
    <w:rsid w:val="008127E1"/>
    <w:rsid w:val="00846253"/>
    <w:rsid w:val="008D6F6D"/>
    <w:rsid w:val="00903907"/>
    <w:rsid w:val="00962490"/>
    <w:rsid w:val="0097280C"/>
    <w:rsid w:val="009E5CE1"/>
    <w:rsid w:val="00A0638F"/>
    <w:rsid w:val="00A463AE"/>
    <w:rsid w:val="00AA7E0C"/>
    <w:rsid w:val="00AF1DCE"/>
    <w:rsid w:val="00AF72D5"/>
    <w:rsid w:val="00B01631"/>
    <w:rsid w:val="00B426A9"/>
    <w:rsid w:val="00B4453F"/>
    <w:rsid w:val="00BB4359"/>
    <w:rsid w:val="00BD0784"/>
    <w:rsid w:val="00C812FB"/>
    <w:rsid w:val="00CB0AFF"/>
    <w:rsid w:val="00D30273"/>
    <w:rsid w:val="00D97E86"/>
    <w:rsid w:val="00DE2538"/>
    <w:rsid w:val="00DF48E8"/>
    <w:rsid w:val="00E5751A"/>
    <w:rsid w:val="00E645E8"/>
    <w:rsid w:val="00E81AC9"/>
    <w:rsid w:val="00F3375E"/>
    <w:rsid w:val="00F42160"/>
    <w:rsid w:val="00F57456"/>
    <w:rsid w:val="00F71C04"/>
    <w:rsid w:val="00FB009C"/>
    <w:rsid w:val="00FB5169"/>
    <w:rsid w:val="00FC46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6AE8"/>
  <w15:docId w15:val="{0C4999A8-6E20-4A23-A01F-17C7396B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BDEW-Überschrift 1"/>
    <w:basedOn w:val="Normal"/>
    <w:next w:val="Normal"/>
    <w:link w:val="Heading1Char"/>
    <w:qFormat/>
    <w:rsid w:val="00CB0AFF"/>
    <w:pPr>
      <w:keepNext/>
      <w:numPr>
        <w:numId w:val="3"/>
      </w:numPr>
      <w:spacing w:before="420" w:after="120" w:line="320" w:lineRule="atLeast"/>
      <w:outlineLvl w:val="0"/>
    </w:pPr>
    <w:rPr>
      <w:rFonts w:eastAsiaTheme="majorEastAsia" w:cs="Arial"/>
      <w:b/>
      <w:bCs/>
      <w:spacing w:val="6"/>
      <w:kern w:val="32"/>
      <w:sz w:val="24"/>
      <w:lang w:eastAsia="de-DE"/>
    </w:rPr>
  </w:style>
  <w:style w:type="paragraph" w:styleId="Heading2">
    <w:name w:val="heading 2"/>
    <w:aliases w:val="BDEW-Überschrift 2"/>
    <w:basedOn w:val="Normal"/>
    <w:next w:val="Normal"/>
    <w:link w:val="Heading2Char"/>
    <w:qFormat/>
    <w:rsid w:val="00CB0AFF"/>
    <w:pPr>
      <w:keepNext/>
      <w:numPr>
        <w:ilvl w:val="1"/>
        <w:numId w:val="3"/>
      </w:numPr>
      <w:spacing w:before="240" w:after="120" w:line="320" w:lineRule="atLeast"/>
      <w:outlineLvl w:val="1"/>
    </w:pPr>
    <w:rPr>
      <w:rFonts w:eastAsiaTheme="majorEastAsia" w:cs="Arial"/>
      <w:b/>
      <w:bCs/>
      <w:iCs/>
      <w:sz w:val="24"/>
      <w:szCs w:val="28"/>
      <w:lang w:eastAsia="de-DE"/>
    </w:rPr>
  </w:style>
  <w:style w:type="paragraph" w:styleId="Heading3">
    <w:name w:val="heading 3"/>
    <w:aliases w:val="BDEW-Überschrift 3"/>
    <w:basedOn w:val="Normal"/>
    <w:next w:val="Normal"/>
    <w:link w:val="Heading3Char"/>
    <w:qFormat/>
    <w:rsid w:val="00CB0AFF"/>
    <w:pPr>
      <w:keepNext/>
      <w:numPr>
        <w:ilvl w:val="2"/>
        <w:numId w:val="3"/>
      </w:numPr>
      <w:spacing w:before="240" w:after="120" w:line="320" w:lineRule="atLeast"/>
      <w:outlineLvl w:val="2"/>
    </w:pPr>
    <w:rPr>
      <w:rFonts w:eastAsiaTheme="majorEastAsia" w:cs="Arial"/>
      <w:b/>
      <w:bCs/>
      <w:sz w:val="24"/>
      <w:szCs w:val="26"/>
      <w:lang w:eastAsia="de-DE"/>
    </w:rPr>
  </w:style>
  <w:style w:type="paragraph" w:styleId="Heading4">
    <w:name w:val="heading 4"/>
    <w:aliases w:val="BDEW-Überschrift 4"/>
    <w:basedOn w:val="Normal"/>
    <w:next w:val="Normal"/>
    <w:link w:val="Heading4Char"/>
    <w:rsid w:val="00CB0AFF"/>
    <w:pPr>
      <w:keepNext/>
      <w:numPr>
        <w:ilvl w:val="3"/>
        <w:numId w:val="3"/>
      </w:numPr>
      <w:spacing w:before="240" w:after="120" w:line="300" w:lineRule="exact"/>
      <w:outlineLvl w:val="3"/>
    </w:pPr>
    <w:rPr>
      <w:rFonts w:eastAsiaTheme="majorEastAsia" w:cstheme="majorBidi"/>
      <w:b/>
      <w:bCs/>
      <w:sz w:val="24"/>
      <w:szCs w:val="28"/>
      <w:lang w:eastAsia="de-DE"/>
    </w:rPr>
  </w:style>
  <w:style w:type="paragraph" w:styleId="Heading5">
    <w:name w:val="heading 5"/>
    <w:basedOn w:val="Normal"/>
    <w:next w:val="Normal"/>
    <w:link w:val="Heading5Char"/>
    <w:semiHidden/>
    <w:rsid w:val="00CB0AFF"/>
    <w:pPr>
      <w:numPr>
        <w:ilvl w:val="4"/>
        <w:numId w:val="3"/>
      </w:numPr>
      <w:spacing w:before="240" w:after="120" w:line="320" w:lineRule="atLeast"/>
      <w:outlineLvl w:val="4"/>
    </w:pPr>
    <w:rPr>
      <w:rFonts w:eastAsiaTheme="majorEastAsia" w:cstheme="majorBidi"/>
      <w:b/>
      <w:bCs/>
      <w:iCs/>
      <w:sz w:val="24"/>
      <w:szCs w:val="26"/>
      <w:lang w:eastAsia="de-DE"/>
    </w:rPr>
  </w:style>
  <w:style w:type="paragraph" w:styleId="Heading6">
    <w:name w:val="heading 6"/>
    <w:basedOn w:val="Normal"/>
    <w:next w:val="Normal"/>
    <w:link w:val="Heading6Char"/>
    <w:semiHidden/>
    <w:rsid w:val="00CB0AFF"/>
    <w:pPr>
      <w:numPr>
        <w:ilvl w:val="5"/>
        <w:numId w:val="3"/>
      </w:numPr>
      <w:spacing w:before="240" w:after="120" w:line="320" w:lineRule="atLeast"/>
      <w:outlineLvl w:val="5"/>
    </w:pPr>
    <w:rPr>
      <w:rFonts w:eastAsiaTheme="majorEastAsia" w:cstheme="majorBidi"/>
      <w:b/>
      <w:bCs/>
      <w:sz w:val="24"/>
      <w:lang w:eastAsia="de-DE"/>
    </w:rPr>
  </w:style>
  <w:style w:type="paragraph" w:styleId="Heading7">
    <w:name w:val="heading 7"/>
    <w:basedOn w:val="Normal"/>
    <w:next w:val="Normal"/>
    <w:link w:val="Heading7Char"/>
    <w:semiHidden/>
    <w:rsid w:val="00CB0AFF"/>
    <w:pPr>
      <w:numPr>
        <w:ilvl w:val="6"/>
        <w:numId w:val="3"/>
      </w:numPr>
      <w:spacing w:before="240" w:after="120" w:line="320" w:lineRule="atLeast"/>
      <w:outlineLvl w:val="6"/>
    </w:pPr>
    <w:rPr>
      <w:rFonts w:eastAsiaTheme="majorEastAsia" w:cstheme="majorBidi"/>
      <w:sz w:val="24"/>
      <w:szCs w:val="24"/>
      <w:lang w:eastAsia="de-DE"/>
    </w:rPr>
  </w:style>
  <w:style w:type="paragraph" w:styleId="Heading8">
    <w:name w:val="heading 8"/>
    <w:basedOn w:val="Normal"/>
    <w:next w:val="Normal"/>
    <w:link w:val="Heading8Char"/>
    <w:semiHidden/>
    <w:rsid w:val="00CB0AFF"/>
    <w:pPr>
      <w:numPr>
        <w:ilvl w:val="7"/>
        <w:numId w:val="3"/>
      </w:numPr>
      <w:spacing w:before="240" w:after="120" w:line="320" w:lineRule="atLeast"/>
      <w:outlineLvl w:val="7"/>
    </w:pPr>
    <w:rPr>
      <w:rFonts w:eastAsiaTheme="majorEastAsia" w:cstheme="majorBidi"/>
      <w:iCs/>
      <w:sz w:val="24"/>
      <w:szCs w:val="24"/>
      <w:lang w:eastAsia="de-DE"/>
    </w:rPr>
  </w:style>
  <w:style w:type="paragraph" w:styleId="Heading9">
    <w:name w:val="heading 9"/>
    <w:basedOn w:val="Normal"/>
    <w:next w:val="Normal"/>
    <w:link w:val="Heading9Char"/>
    <w:semiHidden/>
    <w:rsid w:val="00CB0AFF"/>
    <w:pPr>
      <w:numPr>
        <w:ilvl w:val="8"/>
        <w:numId w:val="3"/>
      </w:numPr>
      <w:spacing w:before="240" w:after="120" w:line="320" w:lineRule="atLeast"/>
      <w:outlineLvl w:val="8"/>
    </w:pPr>
    <w:rPr>
      <w:rFonts w:eastAsiaTheme="majorEastAsia" w:cs="Arial"/>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5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A53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535C"/>
    <w:rPr>
      <w:sz w:val="20"/>
      <w:szCs w:val="20"/>
    </w:rPr>
  </w:style>
  <w:style w:type="character" w:styleId="FootnoteReference">
    <w:name w:val="footnote reference"/>
    <w:basedOn w:val="DefaultParagraphFont"/>
    <w:uiPriority w:val="99"/>
    <w:semiHidden/>
    <w:unhideWhenUsed/>
    <w:rsid w:val="003A535C"/>
    <w:rPr>
      <w:vertAlign w:val="superscript"/>
    </w:rPr>
  </w:style>
  <w:style w:type="paragraph" w:styleId="BalloonText">
    <w:name w:val="Balloon Text"/>
    <w:basedOn w:val="Normal"/>
    <w:link w:val="BalloonTextChar"/>
    <w:uiPriority w:val="99"/>
    <w:semiHidden/>
    <w:unhideWhenUsed/>
    <w:rsid w:val="005628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845"/>
    <w:rPr>
      <w:rFonts w:ascii="Tahoma" w:hAnsi="Tahoma" w:cs="Tahoma"/>
      <w:sz w:val="16"/>
      <w:szCs w:val="16"/>
    </w:rPr>
  </w:style>
  <w:style w:type="paragraph" w:styleId="Header">
    <w:name w:val="header"/>
    <w:basedOn w:val="Normal"/>
    <w:link w:val="HeaderChar"/>
    <w:uiPriority w:val="99"/>
    <w:unhideWhenUsed/>
    <w:rsid w:val="00B016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1631"/>
  </w:style>
  <w:style w:type="paragraph" w:styleId="Footer">
    <w:name w:val="footer"/>
    <w:basedOn w:val="Normal"/>
    <w:link w:val="FooterChar"/>
    <w:uiPriority w:val="99"/>
    <w:unhideWhenUsed/>
    <w:rsid w:val="00B016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1631"/>
  </w:style>
  <w:style w:type="character" w:styleId="CommentReference">
    <w:name w:val="annotation reference"/>
    <w:basedOn w:val="DefaultParagraphFont"/>
    <w:uiPriority w:val="99"/>
    <w:semiHidden/>
    <w:unhideWhenUsed/>
    <w:rsid w:val="0038768B"/>
    <w:rPr>
      <w:sz w:val="16"/>
      <w:szCs w:val="16"/>
    </w:rPr>
  </w:style>
  <w:style w:type="paragraph" w:styleId="CommentText">
    <w:name w:val="annotation text"/>
    <w:basedOn w:val="Normal"/>
    <w:link w:val="CommentTextChar"/>
    <w:uiPriority w:val="99"/>
    <w:semiHidden/>
    <w:unhideWhenUsed/>
    <w:rsid w:val="0038768B"/>
    <w:pPr>
      <w:spacing w:line="240" w:lineRule="auto"/>
    </w:pPr>
    <w:rPr>
      <w:sz w:val="20"/>
      <w:szCs w:val="20"/>
    </w:rPr>
  </w:style>
  <w:style w:type="character" w:customStyle="1" w:styleId="CommentTextChar">
    <w:name w:val="Comment Text Char"/>
    <w:basedOn w:val="DefaultParagraphFont"/>
    <w:link w:val="CommentText"/>
    <w:uiPriority w:val="99"/>
    <w:semiHidden/>
    <w:rsid w:val="0038768B"/>
    <w:rPr>
      <w:sz w:val="20"/>
      <w:szCs w:val="20"/>
    </w:rPr>
  </w:style>
  <w:style w:type="paragraph" w:styleId="CommentSubject">
    <w:name w:val="annotation subject"/>
    <w:basedOn w:val="CommentText"/>
    <w:next w:val="CommentText"/>
    <w:link w:val="CommentSubjectChar"/>
    <w:uiPriority w:val="99"/>
    <w:semiHidden/>
    <w:unhideWhenUsed/>
    <w:rsid w:val="0038768B"/>
    <w:rPr>
      <w:b/>
      <w:bCs/>
    </w:rPr>
  </w:style>
  <w:style w:type="character" w:customStyle="1" w:styleId="CommentSubjectChar">
    <w:name w:val="Comment Subject Char"/>
    <w:basedOn w:val="CommentTextChar"/>
    <w:link w:val="CommentSubject"/>
    <w:uiPriority w:val="99"/>
    <w:semiHidden/>
    <w:rsid w:val="0038768B"/>
    <w:rPr>
      <w:b/>
      <w:bCs/>
      <w:sz w:val="20"/>
      <w:szCs w:val="20"/>
    </w:rPr>
  </w:style>
  <w:style w:type="character" w:customStyle="1" w:styleId="markedcontent">
    <w:name w:val="markedcontent"/>
    <w:basedOn w:val="DefaultParagraphFont"/>
    <w:rsid w:val="00AF72D5"/>
  </w:style>
  <w:style w:type="paragraph" w:styleId="ListParagraph">
    <w:name w:val="List Paragraph"/>
    <w:basedOn w:val="Normal"/>
    <w:uiPriority w:val="34"/>
    <w:qFormat/>
    <w:rsid w:val="00CB0AFF"/>
    <w:pPr>
      <w:spacing w:after="160" w:line="259" w:lineRule="auto"/>
      <w:ind w:left="720"/>
      <w:contextualSpacing/>
    </w:pPr>
    <w:rPr>
      <w:lang w:val="nb-NO"/>
    </w:rPr>
  </w:style>
  <w:style w:type="character" w:customStyle="1" w:styleId="Heading1Char">
    <w:name w:val="Heading 1 Char"/>
    <w:aliases w:val="BDEW-Überschrift 1 Char"/>
    <w:basedOn w:val="DefaultParagraphFont"/>
    <w:link w:val="Heading1"/>
    <w:rsid w:val="00CB0AFF"/>
    <w:rPr>
      <w:rFonts w:eastAsiaTheme="majorEastAsia" w:cs="Arial"/>
      <w:b/>
      <w:bCs/>
      <w:spacing w:val="6"/>
      <w:kern w:val="32"/>
      <w:sz w:val="24"/>
      <w:lang w:eastAsia="de-DE"/>
    </w:rPr>
  </w:style>
  <w:style w:type="character" w:customStyle="1" w:styleId="Heading2Char">
    <w:name w:val="Heading 2 Char"/>
    <w:basedOn w:val="DefaultParagraphFont"/>
    <w:link w:val="Heading2"/>
    <w:rsid w:val="00CB0AFF"/>
    <w:rPr>
      <w:rFonts w:eastAsiaTheme="majorEastAsia" w:cs="Arial"/>
      <w:b/>
      <w:bCs/>
      <w:iCs/>
      <w:sz w:val="24"/>
      <w:szCs w:val="28"/>
      <w:lang w:eastAsia="de-DE"/>
    </w:rPr>
  </w:style>
  <w:style w:type="character" w:customStyle="1" w:styleId="Heading3Char">
    <w:name w:val="Heading 3 Char"/>
    <w:basedOn w:val="DefaultParagraphFont"/>
    <w:link w:val="Heading3"/>
    <w:rsid w:val="00CB0AFF"/>
    <w:rPr>
      <w:rFonts w:eastAsiaTheme="majorEastAsia" w:cs="Arial"/>
      <w:b/>
      <w:bCs/>
      <w:sz w:val="24"/>
      <w:szCs w:val="26"/>
      <w:lang w:eastAsia="de-DE"/>
    </w:rPr>
  </w:style>
  <w:style w:type="character" w:customStyle="1" w:styleId="Heading4Char">
    <w:name w:val="Heading 4 Char"/>
    <w:basedOn w:val="DefaultParagraphFont"/>
    <w:link w:val="Heading4"/>
    <w:rsid w:val="00CB0AFF"/>
    <w:rPr>
      <w:rFonts w:eastAsiaTheme="majorEastAsia" w:cstheme="majorBidi"/>
      <w:b/>
      <w:bCs/>
      <w:sz w:val="24"/>
      <w:szCs w:val="28"/>
      <w:lang w:eastAsia="de-DE"/>
    </w:rPr>
  </w:style>
  <w:style w:type="character" w:customStyle="1" w:styleId="Heading5Char">
    <w:name w:val="Heading 5 Char"/>
    <w:basedOn w:val="DefaultParagraphFont"/>
    <w:link w:val="Heading5"/>
    <w:semiHidden/>
    <w:rsid w:val="00CB0AFF"/>
    <w:rPr>
      <w:rFonts w:eastAsiaTheme="majorEastAsia" w:cstheme="majorBidi"/>
      <w:b/>
      <w:bCs/>
      <w:iCs/>
      <w:sz w:val="24"/>
      <w:szCs w:val="26"/>
      <w:lang w:eastAsia="de-DE"/>
    </w:rPr>
  </w:style>
  <w:style w:type="character" w:customStyle="1" w:styleId="Heading6Char">
    <w:name w:val="Heading 6 Char"/>
    <w:basedOn w:val="DefaultParagraphFont"/>
    <w:link w:val="Heading6"/>
    <w:semiHidden/>
    <w:rsid w:val="00CB0AFF"/>
    <w:rPr>
      <w:rFonts w:eastAsiaTheme="majorEastAsia" w:cstheme="majorBidi"/>
      <w:b/>
      <w:bCs/>
      <w:sz w:val="24"/>
      <w:lang w:eastAsia="de-DE"/>
    </w:rPr>
  </w:style>
  <w:style w:type="character" w:customStyle="1" w:styleId="Heading7Char">
    <w:name w:val="Heading 7 Char"/>
    <w:basedOn w:val="DefaultParagraphFont"/>
    <w:link w:val="Heading7"/>
    <w:semiHidden/>
    <w:rsid w:val="00CB0AFF"/>
    <w:rPr>
      <w:rFonts w:eastAsiaTheme="majorEastAsia" w:cstheme="majorBidi"/>
      <w:sz w:val="24"/>
      <w:szCs w:val="24"/>
      <w:lang w:eastAsia="de-DE"/>
    </w:rPr>
  </w:style>
  <w:style w:type="character" w:customStyle="1" w:styleId="Heading8Char">
    <w:name w:val="Heading 8 Char"/>
    <w:basedOn w:val="DefaultParagraphFont"/>
    <w:link w:val="Heading8"/>
    <w:semiHidden/>
    <w:rsid w:val="00CB0AFF"/>
    <w:rPr>
      <w:rFonts w:eastAsiaTheme="majorEastAsia" w:cstheme="majorBidi"/>
      <w:iCs/>
      <w:sz w:val="24"/>
      <w:szCs w:val="24"/>
      <w:lang w:eastAsia="de-DE"/>
    </w:rPr>
  </w:style>
  <w:style w:type="character" w:customStyle="1" w:styleId="Heading9Char">
    <w:name w:val="Heading 9 Char"/>
    <w:basedOn w:val="DefaultParagraphFont"/>
    <w:link w:val="Heading9"/>
    <w:semiHidden/>
    <w:rsid w:val="00CB0AFF"/>
    <w:rPr>
      <w:rFonts w:eastAsiaTheme="majorEastAsia" w:cs="Arial"/>
      <w:sz w:val="24"/>
      <w:lang w:eastAsia="de-DE"/>
    </w:rPr>
  </w:style>
  <w:style w:type="character" w:customStyle="1" w:styleId="normaltextrun">
    <w:name w:val="normaltextrun"/>
    <w:basedOn w:val="DefaultParagraphFont"/>
    <w:rsid w:val="00CB0AFF"/>
  </w:style>
  <w:style w:type="character" w:customStyle="1" w:styleId="eop">
    <w:name w:val="eop"/>
    <w:basedOn w:val="DefaultParagraphFont"/>
    <w:rsid w:val="00CB0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6fe11a35735487dac377a215490fa4b xmlns="060ffe35-5b46-47c2-b670-a5f10484d931">
      <Terms xmlns="http://schemas.microsoft.com/office/infopath/2007/PartnerControls">
        <TermInfo xmlns="http://schemas.microsoft.com/office/infopath/2007/PartnerControls">
          <TermName xmlns="http://schemas.microsoft.com/office/infopath/2007/PartnerControls">Office 365</TermName>
          <TermId xmlns="http://schemas.microsoft.com/office/infopath/2007/PartnerControls">23cc2eaf-b88f-49bf-9aee-2309aadb8846</TermId>
        </TermInfo>
      </Terms>
    </o6fe11a35735487dac377a215490fa4b>
    <m9e92212f5fa42fa9b52bc2f3224e0af xmlns="060ffe35-5b46-47c2-b670-a5f10484d931">
      <Terms xmlns="http://schemas.microsoft.com/office/infopath/2007/PartnerControls">
        <TermInfo xmlns="http://schemas.microsoft.com/office/infopath/2007/PartnerControls">
          <TermName xmlns="http://schemas.microsoft.com/office/infopath/2007/PartnerControls">Equinor ASA</TermName>
          <TermId xmlns="http://schemas.microsoft.com/office/infopath/2007/PartnerControls">98c35a5d-62b8-4578-be3d-53b9f4deec1f</TermId>
        </TermInfo>
      </Terms>
    </m9e92212f5fa42fa9b52bc2f3224e0af>
    <hfb23c77fa4f4618a5f446ac03ac12ab xmlns="060ffe35-5b46-47c2-b670-a5f10484d931">
      <Terms xmlns="http://schemas.microsoft.com/office/infopath/2007/PartnerControls">
        <TermInfo xmlns="http://schemas.microsoft.com/office/infopath/2007/PartnerControls">
          <TermName xmlns="http://schemas.microsoft.com/office/infopath/2007/PartnerControls">Marketing and supply (M＆S)</TermName>
          <TermId xmlns="http://schemas.microsoft.com/office/infopath/2007/PartnerControls">7be502eb-ca74-4137-83b7-c03f111665eb</TermId>
        </TermInfo>
      </Terms>
    </hfb23c77fa4f4618a5f446ac03ac12ab>
    <d632f762b19c46329b06e4a329cb5038 xmlns="060ffe35-5b46-47c2-b670-a5f10484d931">
      <Terms xmlns="http://schemas.microsoft.com/office/infopath/2007/PartnerControls">
        <TermInfo xmlns="http://schemas.microsoft.com/office/infopath/2007/PartnerControls">
          <TermName xmlns="http://schemas.microsoft.com/office/infopath/2007/PartnerControls">MARKETING MIDSTREAM ＆ PROCESSING (MMP)</TermName>
          <TermId xmlns="http://schemas.microsoft.com/office/infopath/2007/PartnerControls">df6c0c58-7aec-4c00-86c9-d38ce978d4e4</TermId>
        </TermInfo>
      </Terms>
    </d632f762b19c46329b06e4a329cb5038>
    <mbf6ec96a4d94feeaf76fee4d5d0c80e xmlns="060ffe35-5b46-47c2-b670-a5f10484d931">
      <Terms xmlns="http://schemas.microsoft.com/office/infopath/2007/PartnerControls">
        <TermInfo xmlns="http://schemas.microsoft.com/office/infopath/2007/PartnerControls">
          <TermName xmlns="http://schemas.microsoft.com/office/infopath/2007/PartnerControls">Norway</TermName>
          <TermId xmlns="http://schemas.microsoft.com/office/infopath/2007/PartnerControls">cd21f0fc-a0f3-48c6-8f36-ae1c60534e37</TermId>
        </TermInfo>
      </Terms>
    </mbf6ec96a4d94feeaf76fee4d5d0c80e>
    <TaxCatchAll xmlns="060ffe35-5b46-47c2-b670-a5f10484d931">
      <Value>10</Value>
      <Value>9</Value>
      <Value>8</Value>
      <Value>7</Value>
      <Value>6</Value>
      <Value>5</Value>
      <Value>4</Value>
      <Value>3</Value>
      <Value>2</Value>
      <Value>1</Value>
    </TaxCatchAll>
    <b519d5ff8fc64ffea9cb9a4c0b377271 xmlns="060ffe35-5b46-47c2-b670-a5f10484d931">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3361fef0-33ac-457d-8a1d-df19735ffcb1</TermId>
        </TermInfo>
      </Terms>
    </b519d5ff8fc64ffea9cb9a4c0b377271>
    <gd56e2644879487f8da67586944cf0f5 xmlns="060ffe35-5b46-47c2-b670-a5f10484d931">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af4d3abd-d88d-48b7-8fea-db9baac9496f</TermId>
        </TermInfo>
      </Terms>
    </gd56e2644879487f8da67586944cf0f5>
    <j463fd55c1e24278acd7d668b68aa43a xmlns="060ffe35-5b46-47c2-b670-a5f10484d931">
      <Terms xmlns="http://schemas.microsoft.com/office/infopath/2007/PartnerControls">
        <TermInfo xmlns="http://schemas.microsoft.com/office/infopath/2007/PartnerControls">
          <TermName xmlns="http://schemas.microsoft.com/office/infopath/2007/PartnerControls">MMP GEA POLICY ＆ REGULATORY AFFAIRS (MMP GEA PRA)</TermName>
          <TermId xmlns="http://schemas.microsoft.com/office/infopath/2007/PartnerControls">b1eb11ee-7cb7-4146-800a-30232a5cc81b</TermId>
        </TermInfo>
      </Terms>
    </j463fd55c1e24278acd7d668b68aa43a>
    <lcf76f155ced4ddcb4097134ff3c332f xmlns="11f63563-1aeb-4ed5-bf2b-b38835cef257">
      <Terms xmlns="http://schemas.microsoft.com/office/infopath/2007/PartnerControls"/>
    </lcf76f155ced4ddcb4097134ff3c332f>
    <g971e9ce8060489b80a056801d36d93d xmlns="060ffe35-5b46-47c2-b670-a5f10484d931">
      <Terms xmlns="http://schemas.microsoft.com/office/infopath/2007/PartnerControls">
        <TermInfo xmlns="http://schemas.microsoft.com/office/infopath/2007/PartnerControls">
          <TermName xmlns="http://schemas.microsoft.com/office/infopath/2007/PartnerControls">Global Macro and Market analysis</TermName>
          <TermId xmlns="http://schemas.microsoft.com/office/infopath/2007/PartnerControls">97b50156-44e8-4991-9d47-252bb9103e32</TermId>
        </TermInfo>
      </Terms>
    </g971e9ce8060489b80a056801d36d93d>
    <c71f94430ee24530b6af52dc58e8598c xmlns="060ffe35-5b46-47c2-b670-a5f10484d931">
      <Terms xmlns="http://schemas.microsoft.com/office/infopath/2007/PartnerControls">
        <TermInfo xmlns="http://schemas.microsoft.com/office/infopath/2007/PartnerControls">
          <TermName xmlns="http://schemas.microsoft.com/office/infopath/2007/PartnerControls">M＆S Analysis documentation</TermName>
          <TermId xmlns="http://schemas.microsoft.com/office/infopath/2007/PartnerControls">f70c379e-127f-448b-8999-6ac14d0ea3fa</TermId>
        </TermInfo>
      </Terms>
    </c71f94430ee24530b6af52dc58e8598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quinor Document" ma:contentTypeID="0x01010021A623C39873404E8BA89587BD4428B40100C5DC7B754902D5458CA2E6E007426199" ma:contentTypeVersion="14" ma:contentTypeDescription="Create a new document." ma:contentTypeScope="" ma:versionID="03bc364f84e023b0c28a54b39e334bea">
  <xsd:schema xmlns:xsd="http://www.w3.org/2001/XMLSchema" xmlns:xs="http://www.w3.org/2001/XMLSchema" xmlns:p="http://schemas.microsoft.com/office/2006/metadata/properties" xmlns:ns2="060ffe35-5b46-47c2-b670-a5f10484d931" xmlns:ns3="11f63563-1aeb-4ed5-bf2b-b38835cef257" targetNamespace="http://schemas.microsoft.com/office/2006/metadata/properties" ma:root="true" ma:fieldsID="dcd676d721fa49b45d44ad48477098ea" ns2:_="" ns3:_="">
    <xsd:import namespace="060ffe35-5b46-47c2-b670-a5f10484d931"/>
    <xsd:import namespace="11f63563-1aeb-4ed5-bf2b-b38835cef257"/>
    <xsd:element name="properties">
      <xsd:complexType>
        <xsd:sequence>
          <xsd:element name="documentManagement">
            <xsd:complexType>
              <xsd:all>
                <xsd:element ref="ns2:d632f762b19c46329b06e4a329cb5038" minOccurs="0"/>
                <xsd:element ref="ns2:TaxCatchAll" minOccurs="0"/>
                <xsd:element ref="ns2:TaxCatchAllLabel" minOccurs="0"/>
                <xsd:element ref="ns2:mbf6ec96a4d94feeaf76fee4d5d0c80e" minOccurs="0"/>
                <xsd:element ref="ns2:c71f94430ee24530b6af52dc58e8598c" minOccurs="0"/>
                <xsd:element ref="ns2:m9e92212f5fa42fa9b52bc2f3224e0af" minOccurs="0"/>
                <xsd:element ref="ns2:hfb23c77fa4f4618a5f446ac03ac12ab" minOccurs="0"/>
                <xsd:element ref="ns2:g971e9ce8060489b80a056801d36d93d" minOccurs="0"/>
                <xsd:element ref="ns2:b519d5ff8fc64ffea9cb9a4c0b377271" minOccurs="0"/>
                <xsd:element ref="ns2:o6fe11a35735487dac377a215490fa4b" minOccurs="0"/>
                <xsd:element ref="ns2:gd56e2644879487f8da67586944cf0f5" minOccurs="0"/>
                <xsd:element ref="ns2:j463fd55c1e24278acd7d668b68aa43a"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ffe35-5b46-47c2-b670-a5f10484d931" elementFormDefault="qualified">
    <xsd:import namespace="http://schemas.microsoft.com/office/2006/documentManagement/types"/>
    <xsd:import namespace="http://schemas.microsoft.com/office/infopath/2007/PartnerControls"/>
    <xsd:element name="d632f762b19c46329b06e4a329cb5038" ma:index="8" ma:taxonomy="true" ma:internalName="d632f762b19c46329b06e4a329cb5038" ma:taxonomyFieldName="EIMBusinessArea" ma:displayName="Business Area" ma:default="5;#MARKETING MIDSTREAM ＆ PROCESSING (MMP)|df6c0c58-7aec-4c00-86c9-d38ce978d4e4" ma:fieldId="{d632f762-b19c-4632-9b06-e4a329cb5038}" ma:sspId="02f74cf1-ae9f-400d-bc52-3bcd3a9e177f" ma:termSetId="a8ca9a86-9113-48ea-8063-579000373f6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983bb96-ea0b-4a02-b7d1-49b49b4b34d9}" ma:internalName="TaxCatchAll" ma:showField="CatchAllData" ma:web="060ffe35-5b46-47c2-b670-a5f10484d9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983bb96-ea0b-4a02-b7d1-49b49b4b34d9}" ma:internalName="TaxCatchAllLabel" ma:readOnly="true" ma:showField="CatchAllDataLabel" ma:web="060ffe35-5b46-47c2-b670-a5f10484d931">
      <xsd:complexType>
        <xsd:complexContent>
          <xsd:extension base="dms:MultiChoiceLookup">
            <xsd:sequence>
              <xsd:element name="Value" type="dms:Lookup" maxOccurs="unbounded" minOccurs="0" nillable="true"/>
            </xsd:sequence>
          </xsd:extension>
        </xsd:complexContent>
      </xsd:complexType>
    </xsd:element>
    <xsd:element name="mbf6ec96a4d94feeaf76fee4d5d0c80e" ma:index="12" ma:taxonomy="true" ma:internalName="mbf6ec96a4d94feeaf76fee4d5d0c80e" ma:taxonomyFieldName="EIMCountry" ma:displayName="Country" ma:default="6;#Norway|cd21f0fc-a0f3-48c6-8f36-ae1c60534e37" ma:fieldId="{6bf6ec96-a4d9-4fee-af76-fee4d5d0c80e}" ma:taxonomyMulti="true" ma:sspId="02f74cf1-ae9f-400d-bc52-3bcd3a9e177f" ma:termSetId="0250f7c1-058f-435e-97fc-c7f58584592f" ma:anchorId="00000000-0000-0000-0000-000000000000" ma:open="false" ma:isKeyword="false">
      <xsd:complexType>
        <xsd:sequence>
          <xsd:element ref="pc:Terms" minOccurs="0" maxOccurs="1"/>
        </xsd:sequence>
      </xsd:complexType>
    </xsd:element>
    <xsd:element name="c71f94430ee24530b6af52dc58e8598c" ma:index="14" ma:taxonomy="true" ma:internalName="c71f94430ee24530b6af52dc58e8598c" ma:taxonomyFieldName="EIMInformationAsset" ma:displayName="Information type" ma:default="9;#M＆S Analysis documentation|f70c379e-127f-448b-8999-6ac14d0ea3fa" ma:fieldId="{c71f9443-0ee2-4530-b6af-52dc58e8598c}" ma:sspId="02f74cf1-ae9f-400d-bc52-3bcd3a9e177f" ma:termSetId="b76f03a6-1db7-44cf-ab25-1870b16029af" ma:anchorId="00000000-0000-0000-0000-000000000000" ma:open="false" ma:isKeyword="false">
      <xsd:complexType>
        <xsd:sequence>
          <xsd:element ref="pc:Terms" minOccurs="0" maxOccurs="1"/>
        </xsd:sequence>
      </xsd:complexType>
    </xsd:element>
    <xsd:element name="m9e92212f5fa42fa9b52bc2f3224e0af" ma:index="16" ma:taxonomy="true" ma:internalName="m9e92212f5fa42fa9b52bc2f3224e0af" ma:taxonomyFieldName="EIMLegalEntity" ma:displayName="Legal Entity" ma:default="1;#Equinor ASA|98c35a5d-62b8-4578-be3d-53b9f4deec1f" ma:fieldId="{69e92212-f5fa-42fa-9b52-bc2f3224e0af}" ma:sspId="02f74cf1-ae9f-400d-bc52-3bcd3a9e177f" ma:termSetId="547ebc0c-73a3-4a88-b498-ea2a950fe21d" ma:anchorId="00000000-0000-0000-0000-000000000000" ma:open="false" ma:isKeyword="false">
      <xsd:complexType>
        <xsd:sequence>
          <xsd:element ref="pc:Terms" minOccurs="0" maxOccurs="1"/>
        </xsd:sequence>
      </xsd:complexType>
    </xsd:element>
    <xsd:element name="hfb23c77fa4f4618a5f446ac03ac12ab" ma:index="18" ma:taxonomy="true" ma:internalName="hfb23c77fa4f4618a5f446ac03ac12ab" ma:taxonomyFieldName="EIMProcessArea" ma:displayName="Business capability level 1" ma:default="7;#Marketing and supply (M＆S)|7be502eb-ca74-4137-83b7-c03f111665eb" ma:fieldId="{1fb23c77-fa4f-4618-a5f4-46ac03ac12ab}" ma:sspId="02f74cf1-ae9f-400d-bc52-3bcd3a9e177f" ma:termSetId="041c847a-4248-484c-8e89-6aba1a2f3a53" ma:anchorId="00000000-0000-0000-0000-000000000000" ma:open="false" ma:isKeyword="false">
      <xsd:complexType>
        <xsd:sequence>
          <xsd:element ref="pc:Terms" minOccurs="0" maxOccurs="1"/>
        </xsd:sequence>
      </xsd:complexType>
    </xsd:element>
    <xsd:element name="g971e9ce8060489b80a056801d36d93d" ma:index="20" ma:taxonomy="true" ma:internalName="g971e9ce8060489b80a056801d36d93d" ma:taxonomyFieldName="EIMProcess" ma:displayName="Business capability level 2" ma:default="8;#Global Macro and Market analysis|97b50156-44e8-4991-9d47-252bb9103e32" ma:fieldId="{0971e9ce-8060-489b-80a0-56801d36d93d}" ma:sspId="02f74cf1-ae9f-400d-bc52-3bcd3a9e177f" ma:termSetId="3b80e1d2-5900-412d-b185-fa8652847d19" ma:anchorId="00000000-0000-0000-0000-000000000000" ma:open="false" ma:isKeyword="false">
      <xsd:complexType>
        <xsd:sequence>
          <xsd:element ref="pc:Terms" minOccurs="0" maxOccurs="1"/>
        </xsd:sequence>
      </xsd:complexType>
    </xsd:element>
    <xsd:element name="b519d5ff8fc64ffea9cb9a4c0b377271" ma:index="22" ma:taxonomy="true" ma:internalName="b519d5ff8fc64ffea9cb9a4c0b377271" ma:taxonomyFieldName="EIMSecurityClassification" ma:displayName="Security Classification" ma:default="4;#Internal|3361fef0-33ac-457d-8a1d-df19735ffcb1" ma:fieldId="{b519d5ff-8fc6-4ffe-a9cb-9a4c0b377271}" ma:sspId="02f74cf1-ae9f-400d-bc52-3bcd3a9e177f" ma:termSetId="6586e8a5-4521-47b6-a267-a502c9a77ea2" ma:anchorId="00000000-0000-0000-0000-000000000000" ma:open="false" ma:isKeyword="false">
      <xsd:complexType>
        <xsd:sequence>
          <xsd:element ref="pc:Terms" minOccurs="0" maxOccurs="1"/>
        </xsd:sequence>
      </xsd:complexType>
    </xsd:element>
    <xsd:element name="o6fe11a35735487dac377a215490fa4b" ma:index="24" nillable="true" ma:taxonomy="true" ma:internalName="o6fe11a35735487dac377a215490fa4b" ma:taxonomyFieldName="EIMSource" ma:displayName="Source" ma:default="3;#Office 365|23cc2eaf-b88f-49bf-9aee-2309aadb8846" ma:fieldId="{86fe11a3-5735-487d-ac37-7a215490fa4b}" ma:sspId="02f74cf1-ae9f-400d-bc52-3bcd3a9e177f" ma:termSetId="68f706c4-2129-47d0-b770-1bab961b61be" ma:anchorId="00000000-0000-0000-0000-000000000000" ma:open="false" ma:isKeyword="false">
      <xsd:complexType>
        <xsd:sequence>
          <xsd:element ref="pc:Terms" minOccurs="0" maxOccurs="1"/>
        </xsd:sequence>
      </xsd:complexType>
    </xsd:element>
    <xsd:element name="gd56e2644879487f8da67586944cf0f5" ma:index="26" ma:taxonomy="true" ma:internalName="gd56e2644879487f8da67586944cf0f5" ma:taxonomyFieldName="EIMStatus" ma:displayName="Status" ma:default="2;#Draft|af4d3abd-d88d-48b7-8fea-db9baac9496f" ma:fieldId="{0d56e264-4879-487f-8da6-7586944cf0f5}" ma:sspId="02f74cf1-ae9f-400d-bc52-3bcd3a9e177f" ma:termSetId="ee819452-dde8-4ad2-a8b9-030bdfafa61b" ma:anchorId="00000000-0000-0000-0000-000000000000" ma:open="false" ma:isKeyword="false">
      <xsd:complexType>
        <xsd:sequence>
          <xsd:element ref="pc:Terms" minOccurs="0" maxOccurs="1"/>
        </xsd:sequence>
      </xsd:complexType>
    </xsd:element>
    <xsd:element name="j463fd55c1e24278acd7d668b68aa43a" ma:index="28" nillable="true" ma:taxonomy="true" ma:internalName="j463fd55c1e24278acd7d668b68aa43a" ma:taxonomyFieldName="EIMOrganisationUnit" ma:displayName="Organisation Unit" ma:default="10;#MMP GEA POLICY ＆ REGULATORY AFFAIRS (MMP GEA PRA)|b1eb11ee-7cb7-4146-800a-30232a5cc81b" ma:fieldId="{3463fd55-c1e2-4278-acd7-d668b68aa43a}" ma:sspId="02f74cf1-ae9f-400d-bc52-3bcd3a9e177f" ma:termSetId="f36a540b-7bb7-4142-ae76-bc96ba0f7f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f63563-1aeb-4ed5-bf2b-b38835cef257"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02f74cf1-ae9f-400d-bc52-3bcd3a9e177f"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MediaServiceBillingMetadata" ma:index="4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02f74cf1-ae9f-400d-bc52-3bcd3a9e177f" ContentTypeId="0x0101" PreviousValue="false" LastSyncTimeStamp="2017-04-04T06:38:12.213Z"/>
</file>

<file path=customXml/itemProps1.xml><?xml version="1.0" encoding="utf-8"?>
<ds:datastoreItem xmlns:ds="http://schemas.openxmlformats.org/officeDocument/2006/customXml" ds:itemID="{8DD70D90-F120-4BDE-85F4-E3F1C52E64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3EDB1C-05A2-4F03-AC25-EB882F0436F1}">
  <ds:schemaRefs>
    <ds:schemaRef ds:uri="http://schemas.microsoft.com/sharepoint/v3/contenttype/forms"/>
  </ds:schemaRefs>
</ds:datastoreItem>
</file>

<file path=customXml/itemProps3.xml><?xml version="1.0" encoding="utf-8"?>
<ds:datastoreItem xmlns:ds="http://schemas.openxmlformats.org/officeDocument/2006/customXml" ds:itemID="{F5275701-98CF-42C6-BFAF-B5059ACE8E3B}">
  <ds:schemaRefs>
    <ds:schemaRef ds:uri="http://schemas.openxmlformats.org/officeDocument/2006/bibliography"/>
  </ds:schemaRefs>
</ds:datastoreItem>
</file>

<file path=customXml/itemProps4.xml><?xml version="1.0" encoding="utf-8"?>
<ds:datastoreItem xmlns:ds="http://schemas.openxmlformats.org/officeDocument/2006/customXml" ds:itemID="{63545522-B4F9-427F-A824-D4C44A216844}"/>
</file>

<file path=customXml/itemProps5.xml><?xml version="1.0" encoding="utf-8"?>
<ds:datastoreItem xmlns:ds="http://schemas.openxmlformats.org/officeDocument/2006/customXml" ds:itemID="{BC448577-985F-4779-806C-8C72193A0A9B}"/>
</file>

<file path=docMetadata/LabelInfo.xml><?xml version="1.0" encoding="utf-8"?>
<clbl:labelList xmlns:clbl="http://schemas.microsoft.com/office/2020/mipLabelMetadata">
  <clbl:label id="{8c0fd9d9-30b4-46b7-8b7b-c1b67ed693a5}" enabled="1" method="Standard" siteId="{3aa4a235-b6e2-48d5-9195-7fcf05b459b0}" removed="0"/>
</clbl:labelList>
</file>

<file path=docProps/app.xml><?xml version="1.0" encoding="utf-8"?>
<Properties xmlns="http://schemas.openxmlformats.org/officeDocument/2006/extended-properties" xmlns:vt="http://schemas.openxmlformats.org/officeDocument/2006/docPropsVTypes">
  <Template>Normal</Template>
  <TotalTime>42</TotalTime>
  <Pages>6</Pages>
  <Words>983</Words>
  <Characters>7507</Characters>
  <Application>Microsoft Office Word</Application>
  <DocSecurity>0</DocSecurity>
  <Lines>136</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Bundesnetzagentur</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BK6c</dc:creator>
  <cp:lastModifiedBy>Katharina Stecker</cp:lastModifiedBy>
  <cp:revision>2</cp:revision>
  <dcterms:created xsi:type="dcterms:W3CDTF">2026-08-19T12:56:00Z</dcterms:created>
  <dcterms:modified xsi:type="dcterms:W3CDTF">2026-08-19T12:56:00Z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0x01010021A623C39873404E8BA89587BD4428B40100C5DC7B754902D5458CA2E6E007426199</vt:lpwstr>
  </property>
</Properties>
</file>